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版本号：KY2025-1-42120250430001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电化学综合测试系统采购项目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KY2025-1-421</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电化学综合测试系统采购项目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KY2025-1-421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电化学综合测试系统采购项目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建筑科技大学电化学综合测试系统采购项目，随着科学研究和工业技术的快速发展，电化学分析技术在材料科学、能源存储与转换、环境监测、生物医药等领域的重要性日益凸显。分析测试中心作为西安建筑科技大学科研机构和企业的重要技术支撑平台，承担着为各类研究项目提供精准、可靠测试数据的职责。然而，目前中心未配备相关设备，随着外部科研机构和企业委托测试需求的增加，现有设备数量和性能限制了中心的服务能力扩展。为提升分析测试中心的综合服务能力，满足科研和工业领域对电化学分析的高标准需求，采购一套电化学综合测试系统势在必行。具体内容详见谈判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1、法定代表人授权委托书：法定代表人授权书及被授权人身份证明。（法定代表人直接谈判只须提供其身份证明）</w:t>
      </w:r>
    </w:p>
    <w:p>
      <w:pPr>
        <w:pStyle w:val="null3"/>
      </w:pPr>
      <w:r>
        <w:rPr>
          <w:rFonts w:ascii="仿宋_GB2312" w:hAnsi="仿宋_GB2312" w:cs="仿宋_GB2312" w:eastAsia="仿宋_GB2312"/>
        </w:rPr>
        <w:t>2、所投进口产品的完整授权链证明材料：所投产品如为进口产品，提供所投进口产品的完整授权链证明材料。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银行账号：86113010750181501004221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说明：1、合同签订前，乙方须向甲方提交合同总价的5%作为履约保证金； 2、设备到货并由甲方验收合格后，乙方申请，甲方将履约保证金（无息）退还乙方。</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代理服务费收费标准：中标人应依据中标金额向采购代理机构交纳中标服务费，交费金额以国家计委颁布的《招标代理服务收费管理暂行办法》(计价格[2002]1980号)文件为依据计代理服务费，按照以下要求计： 1、100万元(不含)以下的项目，按照文件标准计费收取； 2、100万元(含)以上的项目，按照文件标准上限75%计费。 3、本项目代理服务费按货物计取。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陕西开源招标有限公司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联系人：杭琨、刘金柯</w:t>
      </w:r>
    </w:p>
    <w:p>
      <w:pPr>
        <w:pStyle w:val="null3"/>
      </w:pPr>
      <w:r>
        <w:rPr>
          <w:rFonts w:ascii="仿宋_GB2312" w:hAnsi="仿宋_GB2312" w:cs="仿宋_GB2312" w:eastAsia="仿宋_GB2312"/>
        </w:rPr>
        <w:t>联系电话：029-81206622-825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建筑科技大学电化学综合测试系统采购项目，随着科学研究和工业技术的快速发展，电化学分析技术在材料科学、能源存储与转换、环境监测、生物医药等领域的重要性日益凸显。分析测试中心作为西安建筑科技大学科研机构和企业的重要技术支撑平台，承担着为各类研究项目提供精准、可靠测试数据的职责。然而，目前中心未配备相关设备，随着外部科研机构和企业委托测试需求的增加，现有设备数量和性能限制了中心的服务能力扩展。为提升分析测试中心的综合服务能力，满足科研和工业领域对电化学分析的高标准需求，采购一套电化学综合测试系统势在必行。具体内容详见谈判文件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640,000.00</w:t>
      </w:r>
    </w:p>
    <w:p>
      <w:pPr>
        <w:pStyle w:val="null3"/>
      </w:pPr>
      <w:r>
        <w:rPr>
          <w:rFonts w:ascii="仿宋_GB2312" w:hAnsi="仿宋_GB2312" w:cs="仿宋_GB2312" w:eastAsia="仿宋_GB2312"/>
        </w:rPr>
        <w:t>采购包最高限价（元）: 605,000.00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电化学综合测试系统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标的名称：电化学综合测试系统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项目概述：</w:t>
            </w:r>
          </w:p>
          <w:p>
            <w:pPr>
              <w:pStyle w:val="null3"/>
              <w:ind w:firstLine="480"/>
              <w:jc w:val="left"/>
            </w:pPr>
            <w:r>
              <w:rPr>
                <w:rFonts w:ascii="仿宋_GB2312" w:hAnsi="仿宋_GB2312" w:cs="仿宋_GB2312" w:eastAsia="仿宋_GB2312"/>
                <w:sz w:val="24"/>
              </w:rPr>
              <w:t>随着科学研究和工业技术的快速发展，电化学分析技术在材料科学、能源存储与转换、环境监测、生物医药等领域的重要性日益凸显。分析测试中心作为西安建筑科技大学科研机构和企业的重要技术支撑平台，承担着为各类研究项目提供精准、可靠测试数据的职责。然而，目前中心未配备相关设备，随着外部科研机构和企业委托测试需求的增加，现有设备数量和性能限制了中心的服务能力扩展。为提升分析测试中心的综合服务能力，满足科研和工业领域对电化学分析的高标准需求，采购一套电化学综合测试系统势在必行。</w:t>
            </w:r>
          </w:p>
          <w:p>
            <w:pPr>
              <w:pStyle w:val="null3"/>
              <w:ind w:firstLine="480"/>
              <w:jc w:val="left"/>
            </w:pPr>
            <w:r>
              <w:rPr>
                <w:rFonts w:ascii="仿宋_GB2312" w:hAnsi="仿宋_GB2312" w:cs="仿宋_GB2312" w:eastAsia="仿宋_GB2312"/>
                <w:sz w:val="24"/>
              </w:rPr>
              <w:t>设备功能包括：</w:t>
            </w:r>
          </w:p>
          <w:p>
            <w:pPr>
              <w:pStyle w:val="null3"/>
              <w:ind w:firstLine="480"/>
              <w:jc w:val="left"/>
            </w:pPr>
            <w:r>
              <w:rPr>
                <w:rFonts w:ascii="仿宋_GB2312" w:hAnsi="仿宋_GB2312" w:cs="仿宋_GB2312" w:eastAsia="仿宋_GB2312"/>
                <w:sz w:val="24"/>
              </w:rPr>
              <w:t>（1）能够进行电池内部工作电极的拆解和保存；</w:t>
            </w:r>
          </w:p>
          <w:p>
            <w:pPr>
              <w:pStyle w:val="null3"/>
              <w:ind w:firstLine="480"/>
              <w:jc w:val="left"/>
            </w:pPr>
            <w:r>
              <w:rPr>
                <w:rFonts w:ascii="仿宋_GB2312" w:hAnsi="仿宋_GB2312" w:cs="仿宋_GB2312" w:eastAsia="仿宋_GB2312"/>
                <w:sz w:val="24"/>
              </w:rPr>
              <w:t>（2）能够进行常规电化学分析（包含但不限于循环伏安、电位脉冲、阶梯线性扫描等）；</w:t>
            </w:r>
          </w:p>
          <w:p>
            <w:pPr>
              <w:pStyle w:val="null3"/>
              <w:ind w:firstLine="480"/>
              <w:jc w:val="left"/>
            </w:pPr>
            <w:r>
              <w:rPr>
                <w:rFonts w:ascii="仿宋_GB2312" w:hAnsi="仿宋_GB2312" w:cs="仿宋_GB2312" w:eastAsia="仿宋_GB2312"/>
                <w:sz w:val="24"/>
              </w:rPr>
              <w:t>（3）能够进行腐蚀研究（包含但不限于电偶腐蚀、塔菲尔、Rp拟合分析等）；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）具备电池测试功能，</w:t>
            </w:r>
            <w:r>
              <w:rPr>
                <w:rFonts w:ascii="仿宋_GB2312" w:hAnsi="仿宋_GB2312" w:cs="仿宋_GB2312" w:eastAsia="仿宋_GB2312"/>
                <w:sz w:val="24"/>
              </w:rPr>
              <w:t>功能包括并不限于：</w:t>
            </w:r>
          </w:p>
          <w:p>
            <w:pPr>
              <w:pStyle w:val="null3"/>
              <w:ind w:firstLine="480"/>
              <w:jc w:val="both"/>
            </w:pPr>
            <w:r>
              <w:rPr>
                <w:rFonts w:ascii="仿宋_GB2312" w:hAnsi="仿宋_GB2312" w:cs="仿宋_GB2312" w:eastAsia="仿宋_GB2312"/>
                <w:sz w:val="24"/>
              </w:rPr>
              <w:t>常规电化学分析：开路电位、线性扫描、循环伏安（单次）、循环伏安（多次）、阶梯线性扫描、阶梯循环伏安（单次）、阶梯循环伏安（多次）、计时电流法、计时电位法、计时电量法、电位脉冲法、电流脉冲法、方波伏安法、非正规脉冲法、正规脉冲法、反相正规脉冲法等</w:t>
            </w:r>
          </w:p>
          <w:p>
            <w:pPr>
              <w:pStyle w:val="null3"/>
              <w:ind w:firstLine="480"/>
              <w:jc w:val="both"/>
            </w:pPr>
            <w:r>
              <w:rPr>
                <w:rFonts w:ascii="仿宋_GB2312" w:hAnsi="仿宋_GB2312" w:cs="仿宋_GB2312" w:eastAsia="仿宋_GB2312"/>
                <w:sz w:val="24"/>
              </w:rPr>
              <w:t>腐蚀研究：零电阻电流计（电化学噪声）、电偶腐蚀、循环极化、线性极化、塔菲尔、Rp拟合分析、恒电位、动电位扫描、恒电流、动电流扫描、动态IR补偿等</w:t>
            </w:r>
          </w:p>
          <w:p>
            <w:pPr>
              <w:pStyle w:val="null3"/>
              <w:ind w:firstLine="480"/>
              <w:jc w:val="both"/>
            </w:pPr>
            <w:r>
              <w:rPr>
                <w:rFonts w:ascii="仿宋_GB2312" w:hAnsi="仿宋_GB2312" w:cs="仿宋_GB2312" w:eastAsia="仿宋_GB2312"/>
                <w:sz w:val="24"/>
              </w:rPr>
              <w:t>能源测试：恒电流充放电、恒电压充放电、恒电阻放电、恒功率放电、多拐点循环伏安扫描、电压限制的恒电流充放电循环、功率控制的充放电循环、电阻控制的充放电循环等</w:t>
            </w:r>
          </w:p>
          <w:p>
            <w:pPr>
              <w:pStyle w:val="null3"/>
              <w:ind w:firstLine="480"/>
              <w:jc w:val="both"/>
            </w:pPr>
            <w:r>
              <w:rPr>
                <w:rFonts w:ascii="仿宋_GB2312" w:hAnsi="仿宋_GB2312" w:cs="仿宋_GB2312" w:eastAsia="仿宋_GB2312"/>
                <w:sz w:val="24"/>
              </w:rPr>
              <w:t>阻抗分析：控制电位的电化学阻抗、控制电流的电化学阻抗</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采购清单及技术标准、配置要求：</w:t>
            </w:r>
          </w:p>
          <w:tbl>
            <w:tblPr>
              <w:tblBorders>
                <w:top w:val="none" w:color="000000" w:sz="4"/>
                <w:left w:val="none" w:color="000000" w:sz="4"/>
                <w:bottom w:val="none" w:color="000000" w:sz="4"/>
                <w:right w:val="none" w:color="000000" w:sz="4"/>
                <w:insideH w:val="none"/>
                <w:insideV w:val="none"/>
              </w:tblBorders>
            </w:tblPr>
            <w:tblGrid>
              <w:gridCol w:w="159"/>
              <w:gridCol w:w="281"/>
              <w:gridCol w:w="1061"/>
              <w:gridCol w:w="599"/>
              <w:gridCol w:w="228"/>
              <w:gridCol w:w="217"/>
            </w:tblGrid>
            <w:tr>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序号</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产品名称</w:t>
                  </w:r>
                </w:p>
              </w:tc>
              <w:tc>
                <w:tcPr>
                  <w:tcW w:type="dxa" w:w="10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技术标准</w:t>
                  </w:r>
                </w:p>
              </w:tc>
              <w:tc>
                <w:tcPr>
                  <w:tcW w:type="dxa" w:w="5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配置要求</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rPr>
                    <w:t>数量</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电化学工作站</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、技术参数</w:t>
                  </w:r>
                </w:p>
                <w:p>
                  <w:pPr>
                    <w:pStyle w:val="null3"/>
                    <w:jc w:val="both"/>
                  </w:pPr>
                  <w:r>
                    <w:rPr>
                      <w:rFonts w:ascii="仿宋_GB2312" w:hAnsi="仿宋_GB2312" w:cs="仿宋_GB2312" w:eastAsia="仿宋_GB2312"/>
                      <w:sz w:val="24"/>
                    </w:rPr>
                    <w:t xml:space="preserve">（1）数据采集速度：不低于3×16bit 每秒500K样品的采集           </w:t>
                  </w:r>
                </w:p>
                <w:p>
                  <w:pPr>
                    <w:pStyle w:val="null3"/>
                    <w:jc w:val="both"/>
                  </w:pPr>
                  <w:r>
                    <w:rPr>
                      <w:rFonts w:ascii="仿宋_GB2312" w:hAnsi="仿宋_GB2312" w:cs="仿宋_GB2312" w:eastAsia="仿宋_GB2312"/>
                      <w:sz w:val="24"/>
                    </w:rPr>
                    <w:t>（2）时间分辨率：1μs/2μs</w:t>
                  </w:r>
                </w:p>
                <w:p>
                  <w:pPr>
                    <w:pStyle w:val="null3"/>
                    <w:jc w:val="both"/>
                  </w:pPr>
                  <w:r>
                    <w:rPr>
                      <w:rFonts w:ascii="仿宋_GB2312" w:hAnsi="仿宋_GB2312" w:cs="仿宋_GB2312" w:eastAsia="仿宋_GB2312"/>
                      <w:sz w:val="24"/>
                    </w:rPr>
                    <w:t>自动噪声滤波</w:t>
                  </w:r>
                </w:p>
                <w:p>
                  <w:pPr>
                    <w:pStyle w:val="null3"/>
                    <w:jc w:val="both"/>
                  </w:pPr>
                  <w:r>
                    <w:rPr>
                      <w:rFonts w:ascii="仿宋_GB2312" w:hAnsi="仿宋_GB2312" w:cs="仿宋_GB2312" w:eastAsia="仿宋_GB2312"/>
                      <w:sz w:val="24"/>
                    </w:rPr>
                    <w:t>（3）双通道同步方式：硬件同步</w:t>
                  </w:r>
                </w:p>
                <w:p>
                  <w:pPr>
                    <w:pStyle w:val="null3"/>
                    <w:jc w:val="both"/>
                  </w:pPr>
                  <w:r>
                    <w:rPr>
                      <w:rFonts w:ascii="仿宋_GB2312" w:hAnsi="仿宋_GB2312" w:cs="仿宋_GB2312" w:eastAsia="仿宋_GB2312"/>
                      <w:sz w:val="24"/>
                    </w:rPr>
                    <w:t>（4）系统功率（CE）</w:t>
                  </w:r>
                </w:p>
                <w:p>
                  <w:pPr>
                    <w:pStyle w:val="null3"/>
                    <w:ind w:firstLine="240"/>
                    <w:jc w:val="both"/>
                  </w:pPr>
                  <w:r>
                    <w:rPr>
                      <w:rFonts w:ascii="仿宋_GB2312" w:hAnsi="仿宋_GB2312" w:cs="仿宋_GB2312" w:eastAsia="仿宋_GB2312"/>
                      <w:sz w:val="24"/>
                    </w:rPr>
                    <w:t>电压范围：±30V</w:t>
                  </w:r>
                </w:p>
                <w:p>
                  <w:pPr>
                    <w:pStyle w:val="null3"/>
                    <w:ind w:firstLine="240"/>
                    <w:jc w:val="both"/>
                  </w:pPr>
                  <w:r>
                    <w:rPr>
                      <w:rFonts w:ascii="仿宋_GB2312" w:hAnsi="仿宋_GB2312" w:cs="仿宋_GB2312" w:eastAsia="仿宋_GB2312"/>
                      <w:sz w:val="24"/>
                    </w:rPr>
                    <w:t>电流输出：±2A</w:t>
                  </w:r>
                </w:p>
                <w:p>
                  <w:pPr>
                    <w:pStyle w:val="null3"/>
                    <w:ind w:firstLine="240"/>
                    <w:jc w:val="both"/>
                  </w:pPr>
                  <w:r>
                    <w:rPr>
                      <w:rFonts w:ascii="仿宋_GB2312" w:hAnsi="仿宋_GB2312" w:cs="仿宋_GB2312" w:eastAsia="仿宋_GB2312"/>
                      <w:sz w:val="24"/>
                    </w:rPr>
                    <w:t>恒电位仪带宽：1MHz</w:t>
                  </w:r>
                </w:p>
                <w:p>
                  <w:pPr>
                    <w:pStyle w:val="null3"/>
                    <w:ind w:firstLine="240"/>
                    <w:jc w:val="both"/>
                  </w:pPr>
                  <w:r>
                    <w:rPr>
                      <w:rFonts w:ascii="仿宋_GB2312" w:hAnsi="仿宋_GB2312" w:cs="仿宋_GB2312" w:eastAsia="仿宋_GB2312"/>
                      <w:sz w:val="24"/>
                    </w:rPr>
                    <w:t>稳定性设定：高速，高稳定性</w:t>
                  </w:r>
                </w:p>
                <w:p>
                  <w:pPr>
                    <w:pStyle w:val="null3"/>
                    <w:ind w:firstLine="240"/>
                    <w:jc w:val="both"/>
                  </w:pPr>
                  <w:r>
                    <w:rPr>
                      <w:rFonts w:ascii="仿宋_GB2312" w:hAnsi="仿宋_GB2312" w:cs="仿宋_GB2312" w:eastAsia="仿宋_GB2312"/>
                      <w:sz w:val="24"/>
                    </w:rPr>
                    <w:t>切换速度：&gt;8V/s</w:t>
                  </w:r>
                </w:p>
                <w:p>
                  <w:pPr>
                    <w:pStyle w:val="null3"/>
                    <w:jc w:val="both"/>
                  </w:pPr>
                  <w:r>
                    <w:rPr>
                      <w:rFonts w:ascii="仿宋_GB2312" w:hAnsi="仿宋_GB2312" w:cs="仿宋_GB2312" w:eastAsia="仿宋_GB2312"/>
                      <w:sz w:val="24"/>
                    </w:rPr>
                    <w:t>（5）电位控制（电位模式）：</w:t>
                  </w:r>
                </w:p>
                <w:p>
                  <w:pPr>
                    <w:pStyle w:val="null3"/>
                    <w:ind w:firstLine="240"/>
                    <w:jc w:val="both"/>
                  </w:pPr>
                  <w:r>
                    <w:rPr>
                      <w:rFonts w:ascii="仿宋_GB2312" w:hAnsi="仿宋_GB2312" w:cs="仿宋_GB2312" w:eastAsia="仿宋_GB2312"/>
                      <w:sz w:val="24"/>
                    </w:rPr>
                    <w:t>扫描施加电位：±10V</w:t>
                  </w:r>
                </w:p>
                <w:p>
                  <w:pPr>
                    <w:pStyle w:val="null3"/>
                    <w:ind w:firstLine="240"/>
                    <w:jc w:val="both"/>
                  </w:pPr>
                  <w:r>
                    <w:rPr>
                      <w:rFonts w:ascii="仿宋_GB2312" w:hAnsi="仿宋_GB2312" w:cs="仿宋_GB2312" w:eastAsia="仿宋_GB2312"/>
                      <w:sz w:val="24"/>
                    </w:rPr>
                    <w:t>电位分辨率：</w:t>
                  </w:r>
                </w:p>
                <w:p>
                  <w:pPr>
                    <w:pStyle w:val="null3"/>
                    <w:ind w:firstLine="240"/>
                    <w:jc w:val="both"/>
                  </w:pPr>
                  <w:r>
                    <w:rPr>
                      <w:rFonts w:ascii="仿宋_GB2312" w:hAnsi="仿宋_GB2312" w:cs="仿宋_GB2312" w:eastAsia="仿宋_GB2312"/>
                      <w:sz w:val="24"/>
                    </w:rPr>
                    <w:t>±10mV―300nV</w:t>
                  </w:r>
                </w:p>
                <w:p>
                  <w:pPr>
                    <w:pStyle w:val="null3"/>
                    <w:ind w:firstLine="240"/>
                    <w:jc w:val="both"/>
                  </w:pPr>
                  <w:r>
                    <w:rPr>
                      <w:rFonts w:ascii="仿宋_GB2312" w:hAnsi="仿宋_GB2312" w:cs="仿宋_GB2312" w:eastAsia="仿宋_GB2312"/>
                      <w:sz w:val="24"/>
                    </w:rPr>
                    <w:t>±100mV―3μV</w:t>
                  </w:r>
                </w:p>
                <w:p>
                  <w:pPr>
                    <w:pStyle w:val="null3"/>
                    <w:ind w:firstLine="240"/>
                    <w:jc w:val="both"/>
                  </w:pPr>
                  <w:r>
                    <w:rPr>
                      <w:rFonts w:ascii="仿宋_GB2312" w:hAnsi="仿宋_GB2312" w:cs="仿宋_GB2312" w:eastAsia="仿宋_GB2312"/>
                      <w:sz w:val="24"/>
                    </w:rPr>
                    <w:t>±1V―30μV</w:t>
                  </w:r>
                </w:p>
                <w:p>
                  <w:pPr>
                    <w:pStyle w:val="null3"/>
                    <w:ind w:firstLine="240"/>
                    <w:jc w:val="both"/>
                  </w:pPr>
                  <w:r>
                    <w:rPr>
                      <w:rFonts w:ascii="仿宋_GB2312" w:hAnsi="仿宋_GB2312" w:cs="仿宋_GB2312" w:eastAsia="仿宋_GB2312"/>
                      <w:sz w:val="24"/>
                    </w:rPr>
                    <w:t>±10V―300μV</w:t>
                  </w:r>
                </w:p>
                <w:p>
                  <w:pPr>
                    <w:pStyle w:val="null3"/>
                    <w:ind w:firstLine="240"/>
                    <w:jc w:val="both"/>
                  </w:pPr>
                  <w:r>
                    <w:rPr>
                      <w:rFonts w:ascii="仿宋_GB2312" w:hAnsi="仿宋_GB2312" w:cs="仿宋_GB2312" w:eastAsia="仿宋_GB2312"/>
                      <w:sz w:val="24"/>
                    </w:rPr>
                    <w:t>电位精度：±0.2%</w:t>
                  </w:r>
                </w:p>
                <w:p>
                  <w:pPr>
                    <w:pStyle w:val="null3"/>
                    <w:jc w:val="both"/>
                  </w:pPr>
                  <w:r>
                    <w:rPr>
                      <w:rFonts w:ascii="仿宋_GB2312" w:hAnsi="仿宋_GB2312" w:cs="仿宋_GB2312" w:eastAsia="仿宋_GB2312"/>
                      <w:sz w:val="24"/>
                    </w:rPr>
                    <w:t>（6）最大扫速：25000V/s</w:t>
                  </w:r>
                </w:p>
                <w:p>
                  <w:pPr>
                    <w:pStyle w:val="null3"/>
                    <w:jc w:val="both"/>
                  </w:pPr>
                  <w:r>
                    <w:rPr>
                      <w:rFonts w:ascii="仿宋_GB2312" w:hAnsi="仿宋_GB2312" w:cs="仿宋_GB2312" w:eastAsia="仿宋_GB2312"/>
                      <w:sz w:val="24"/>
                    </w:rPr>
                    <w:t>最大扫描范围/分辨率：±30V/300uV</w:t>
                  </w:r>
                </w:p>
                <w:p>
                  <w:pPr>
                    <w:pStyle w:val="null3"/>
                    <w:jc w:val="both"/>
                  </w:pPr>
                  <w:r>
                    <w:rPr>
                      <w:rFonts w:ascii="仿宋_GB2312" w:hAnsi="仿宋_GB2312" w:cs="仿宋_GB2312" w:eastAsia="仿宋_GB2312"/>
                      <w:sz w:val="24"/>
                    </w:rPr>
                    <w:t>（7）电位扫描方式：具有线性扫描及阶梯波扫描双重方式</w:t>
                  </w:r>
                </w:p>
                <w:p>
                  <w:pPr>
                    <w:pStyle w:val="null3"/>
                    <w:jc w:val="both"/>
                  </w:pPr>
                  <w:r>
                    <w:rPr>
                      <w:rFonts w:ascii="仿宋_GB2312" w:hAnsi="仿宋_GB2312" w:cs="仿宋_GB2312" w:eastAsia="仿宋_GB2312"/>
                      <w:sz w:val="24"/>
                    </w:rPr>
                    <w:t>（8）电流控制</w:t>
                  </w:r>
                </w:p>
                <w:p>
                  <w:pPr>
                    <w:pStyle w:val="null3"/>
                    <w:ind w:firstLine="240"/>
                    <w:jc w:val="both"/>
                  </w:pPr>
                  <w:r>
                    <w:rPr>
                      <w:rFonts w:ascii="仿宋_GB2312" w:hAnsi="仿宋_GB2312" w:cs="仿宋_GB2312" w:eastAsia="仿宋_GB2312"/>
                      <w:sz w:val="24"/>
                    </w:rPr>
                    <w:t>施加电流：±2A</w:t>
                  </w:r>
                </w:p>
                <w:p>
                  <w:pPr>
                    <w:pStyle w:val="null3"/>
                    <w:ind w:firstLine="240"/>
                    <w:jc w:val="both"/>
                  </w:pPr>
                  <w:r>
                    <w:rPr>
                      <w:rFonts w:ascii="仿宋_GB2312" w:hAnsi="仿宋_GB2312" w:cs="仿宋_GB2312" w:eastAsia="仿宋_GB2312"/>
                      <w:sz w:val="24"/>
                    </w:rPr>
                    <w:t>电流分辨率: 1/32000全程</w:t>
                  </w:r>
                </w:p>
                <w:p>
                  <w:pPr>
                    <w:pStyle w:val="null3"/>
                    <w:ind w:firstLine="240"/>
                    <w:jc w:val="both"/>
                  </w:pPr>
                  <w:r>
                    <w:rPr>
                      <w:rFonts w:ascii="仿宋_GB2312" w:hAnsi="仿宋_GB2312" w:cs="仿宋_GB2312" w:eastAsia="仿宋_GB2312"/>
                      <w:sz w:val="24"/>
                    </w:rPr>
                    <w:t>最大电流量程及分辨率：±2A/61uA</w:t>
                  </w:r>
                </w:p>
                <w:p>
                  <w:pPr>
                    <w:pStyle w:val="null3"/>
                    <w:ind w:firstLine="240"/>
                    <w:jc w:val="both"/>
                  </w:pPr>
                  <w:r>
                    <w:rPr>
                      <w:rFonts w:ascii="仿宋_GB2312" w:hAnsi="仿宋_GB2312" w:cs="仿宋_GB2312" w:eastAsia="仿宋_GB2312"/>
                      <w:sz w:val="24"/>
                    </w:rPr>
                    <w:t>最小电流量程及分辨率：±4nA/120fA</w:t>
                  </w:r>
                </w:p>
                <w:p>
                  <w:pPr>
                    <w:pStyle w:val="null3"/>
                    <w:ind w:firstLine="240"/>
                    <w:jc w:val="both"/>
                  </w:pPr>
                  <w:r>
                    <w:rPr>
                      <w:rFonts w:ascii="仿宋_GB2312" w:hAnsi="仿宋_GB2312" w:cs="仿宋_GB2312" w:eastAsia="仿宋_GB2312"/>
                      <w:sz w:val="24"/>
                    </w:rPr>
                    <w:t>电流精度：±0.2%</w:t>
                  </w:r>
                </w:p>
                <w:p>
                  <w:pPr>
                    <w:pStyle w:val="null3"/>
                    <w:jc w:val="both"/>
                  </w:pPr>
                  <w:r>
                    <w:rPr>
                      <w:rFonts w:ascii="仿宋_GB2312" w:hAnsi="仿宋_GB2312" w:cs="仿宋_GB2312" w:eastAsia="仿宋_GB2312"/>
                      <w:sz w:val="24"/>
                    </w:rPr>
                    <w:t>（9）差分静电计</w:t>
                  </w:r>
                </w:p>
                <w:p>
                  <w:pPr>
                    <w:pStyle w:val="null3"/>
                    <w:ind w:firstLine="240"/>
                    <w:jc w:val="both"/>
                  </w:pPr>
                  <w:r>
                    <w:rPr>
                      <w:rFonts w:ascii="仿宋_GB2312" w:hAnsi="仿宋_GB2312" w:cs="仿宋_GB2312" w:eastAsia="仿宋_GB2312"/>
                      <w:sz w:val="24"/>
                    </w:rPr>
                    <w:t>最大输入范围：±10V</w:t>
                  </w:r>
                </w:p>
                <w:p>
                  <w:pPr>
                    <w:pStyle w:val="null3"/>
                    <w:ind w:firstLine="240"/>
                    <w:jc w:val="both"/>
                  </w:pPr>
                  <w:r>
                    <w:rPr>
                      <w:rFonts w:ascii="仿宋_GB2312" w:hAnsi="仿宋_GB2312" w:cs="仿宋_GB2312" w:eastAsia="仿宋_GB2312"/>
                      <w:sz w:val="24"/>
                    </w:rPr>
                    <w:t>带宽：&gt;10MHz</w:t>
                  </w:r>
                </w:p>
                <w:p>
                  <w:pPr>
                    <w:pStyle w:val="null3"/>
                    <w:ind w:firstLine="240"/>
                    <w:jc w:val="both"/>
                  </w:pPr>
                  <w:r>
                    <w:rPr>
                      <w:rFonts w:ascii="仿宋_GB2312" w:hAnsi="仿宋_GB2312" w:cs="仿宋_GB2312" w:eastAsia="仿宋_GB2312"/>
                      <w:sz w:val="24"/>
                    </w:rPr>
                    <w:t>输入阻抗：&gt;10</w:t>
                  </w:r>
                  <w:r>
                    <w:rPr>
                      <w:rFonts w:ascii="仿宋_GB2312" w:hAnsi="仿宋_GB2312" w:cs="仿宋_GB2312" w:eastAsia="仿宋_GB2312"/>
                      <w:sz w:val="24"/>
                      <w:vertAlign w:val="superscript"/>
                    </w:rPr>
                    <w:t>13</w:t>
                  </w:r>
                  <w:r>
                    <w:rPr>
                      <w:rFonts w:ascii="仿宋_GB2312" w:hAnsi="仿宋_GB2312" w:cs="仿宋_GB2312" w:eastAsia="仿宋_GB2312"/>
                      <w:sz w:val="24"/>
                    </w:rPr>
                    <w:t>Ω</w:t>
                  </w:r>
                </w:p>
                <w:p>
                  <w:pPr>
                    <w:pStyle w:val="null3"/>
                    <w:ind w:firstLine="240"/>
                    <w:jc w:val="both"/>
                  </w:pPr>
                  <w:r>
                    <w:rPr>
                      <w:rFonts w:ascii="仿宋_GB2312" w:hAnsi="仿宋_GB2312" w:cs="仿宋_GB2312" w:eastAsia="仿宋_GB2312"/>
                      <w:sz w:val="24"/>
                    </w:rPr>
                    <w:t>漏电流：5pA</w:t>
                  </w:r>
                </w:p>
                <w:p>
                  <w:pPr>
                    <w:pStyle w:val="null3"/>
                    <w:jc w:val="both"/>
                  </w:pPr>
                  <w:r>
                    <w:rPr>
                      <w:rFonts w:ascii="仿宋_GB2312" w:hAnsi="仿宋_GB2312" w:cs="仿宋_GB2312" w:eastAsia="仿宋_GB2312"/>
                      <w:sz w:val="24"/>
                    </w:rPr>
                    <w:t>（10）电位测量</w:t>
                  </w:r>
                </w:p>
                <w:p>
                  <w:pPr>
                    <w:pStyle w:val="null3"/>
                    <w:ind w:firstLine="240"/>
                    <w:jc w:val="both"/>
                  </w:pPr>
                  <w:r>
                    <w:rPr>
                      <w:rFonts w:ascii="仿宋_GB2312" w:hAnsi="仿宋_GB2312" w:cs="仿宋_GB2312" w:eastAsia="仿宋_GB2312"/>
                      <w:sz w:val="24"/>
                    </w:rPr>
                    <w:t>电压量程：±30V</w:t>
                  </w:r>
                </w:p>
                <w:p>
                  <w:pPr>
                    <w:pStyle w:val="null3"/>
                    <w:ind w:firstLine="240"/>
                    <w:jc w:val="both"/>
                  </w:pPr>
                  <w:r>
                    <w:rPr>
                      <w:rFonts w:ascii="仿宋_GB2312" w:hAnsi="仿宋_GB2312" w:cs="仿宋_GB2312" w:eastAsia="仿宋_GB2312"/>
                      <w:sz w:val="24"/>
                    </w:rPr>
                    <w:t>电位分辨率：6uV</w:t>
                  </w:r>
                </w:p>
                <w:p>
                  <w:pPr>
                    <w:pStyle w:val="null3"/>
                    <w:ind w:firstLine="240"/>
                    <w:jc w:val="both"/>
                  </w:pPr>
                  <w:r>
                    <w:rPr>
                      <w:rFonts w:ascii="仿宋_GB2312" w:hAnsi="仿宋_GB2312" w:cs="仿宋_GB2312" w:eastAsia="仿宋_GB2312"/>
                      <w:sz w:val="24"/>
                    </w:rPr>
                    <w:t>电位精度:：±0.2%</w:t>
                  </w:r>
                </w:p>
                <w:p>
                  <w:pPr>
                    <w:pStyle w:val="null3"/>
                    <w:jc w:val="both"/>
                  </w:pPr>
                  <w:r>
                    <w:rPr>
                      <w:rFonts w:ascii="仿宋_GB2312" w:hAnsi="仿宋_GB2312" w:cs="仿宋_GB2312" w:eastAsia="仿宋_GB2312"/>
                      <w:sz w:val="24"/>
                    </w:rPr>
                    <w:t>（11）电流测量</w:t>
                  </w:r>
                </w:p>
                <w:p>
                  <w:pPr>
                    <w:pStyle w:val="null3"/>
                    <w:ind w:firstLine="240"/>
                    <w:jc w:val="both"/>
                  </w:pPr>
                  <w:r>
                    <w:rPr>
                      <w:rFonts w:ascii="仿宋_GB2312" w:hAnsi="仿宋_GB2312" w:cs="仿宋_GB2312" w:eastAsia="仿宋_GB2312"/>
                      <w:sz w:val="24"/>
                    </w:rPr>
                    <w:t>电流量程：2A-4nA（标配）</w:t>
                  </w:r>
                </w:p>
                <w:p>
                  <w:pPr>
                    <w:pStyle w:val="null3"/>
                    <w:ind w:firstLine="240"/>
                    <w:jc w:val="both"/>
                  </w:pPr>
                  <w:r>
                    <w:rPr>
                      <w:rFonts w:ascii="仿宋_GB2312" w:hAnsi="仿宋_GB2312" w:cs="仿宋_GB2312" w:eastAsia="仿宋_GB2312"/>
                      <w:sz w:val="24"/>
                    </w:rPr>
                    <w:t>电流分辨率：120fA（4nA）</w:t>
                  </w:r>
                </w:p>
                <w:p>
                  <w:pPr>
                    <w:pStyle w:val="null3"/>
                    <w:ind w:firstLine="240"/>
                    <w:jc w:val="both"/>
                  </w:pPr>
                  <w:r>
                    <w:rPr>
                      <w:rFonts w:ascii="仿宋_GB2312" w:hAnsi="仿宋_GB2312" w:cs="仿宋_GB2312" w:eastAsia="仿宋_GB2312"/>
                      <w:sz w:val="24"/>
                    </w:rPr>
                    <w:t>电流精度：±0.2%</w:t>
                  </w:r>
                </w:p>
                <w:p>
                  <w:pPr>
                    <w:pStyle w:val="null3"/>
                    <w:jc w:val="both"/>
                  </w:pPr>
                  <w:r>
                    <w:rPr>
                      <w:rFonts w:ascii="仿宋_GB2312" w:hAnsi="仿宋_GB2312" w:cs="仿宋_GB2312" w:eastAsia="仿宋_GB2312"/>
                      <w:sz w:val="24"/>
                    </w:rPr>
                    <w:t>（12）阻抗模块</w:t>
                  </w:r>
                </w:p>
                <w:p>
                  <w:pPr>
                    <w:pStyle w:val="null3"/>
                    <w:ind w:firstLine="240"/>
                    <w:jc w:val="both"/>
                  </w:pPr>
                  <w:r>
                    <w:rPr>
                      <w:rFonts w:ascii="仿宋_GB2312" w:hAnsi="仿宋_GB2312" w:cs="仿宋_GB2312" w:eastAsia="仿宋_GB2312"/>
                      <w:sz w:val="24"/>
                    </w:rPr>
                    <w:t>模式：电位/电流</w:t>
                  </w:r>
                </w:p>
                <w:p>
                  <w:pPr>
                    <w:pStyle w:val="null3"/>
                    <w:ind w:firstLine="240"/>
                    <w:jc w:val="both"/>
                  </w:pPr>
                  <w:r>
                    <w:rPr>
                      <w:rFonts w:ascii="仿宋_GB2312" w:hAnsi="仿宋_GB2312" w:cs="仿宋_GB2312" w:eastAsia="仿宋_GB2312"/>
                      <w:sz w:val="24"/>
                    </w:rPr>
                    <w:t>频率范围：</w:t>
                  </w:r>
                </w:p>
                <w:p>
                  <w:pPr>
                    <w:pStyle w:val="null3"/>
                    <w:ind w:firstLine="240"/>
                    <w:jc w:val="both"/>
                  </w:pPr>
                  <w:r>
                    <w:rPr>
                      <w:rFonts w:ascii="仿宋_GB2312" w:hAnsi="仿宋_GB2312" w:cs="仿宋_GB2312" w:eastAsia="仿宋_GB2312"/>
                      <w:sz w:val="24"/>
                    </w:rPr>
                    <w:t>10uHz</w:t>
                  </w:r>
                  <w:r>
                    <w:rPr>
                      <w:rFonts w:ascii="仿宋_GB2312" w:hAnsi="仿宋_GB2312" w:cs="仿宋_GB2312" w:eastAsia="仿宋_GB2312"/>
                      <w:sz w:val="24"/>
                    </w:rPr>
                    <w:t>~</w:t>
                  </w:r>
                  <w:r>
                    <w:rPr>
                      <w:rFonts w:ascii="仿宋_GB2312" w:hAnsi="仿宋_GB2312" w:cs="仿宋_GB2312" w:eastAsia="仿宋_GB2312"/>
                      <w:sz w:val="24"/>
                    </w:rPr>
                    <w:t>7MHz/10uHz</w:t>
                  </w:r>
                  <w:r>
                    <w:rPr>
                      <w:rFonts w:ascii="仿宋_GB2312" w:hAnsi="仿宋_GB2312" w:cs="仿宋_GB2312" w:eastAsia="仿宋_GB2312"/>
                      <w:sz w:val="24"/>
                    </w:rPr>
                    <w:t>~</w:t>
                  </w:r>
                  <w:r>
                    <w:rPr>
                      <w:rFonts w:ascii="仿宋_GB2312" w:hAnsi="仿宋_GB2312" w:cs="仿宋_GB2312" w:eastAsia="仿宋_GB2312"/>
                      <w:sz w:val="24"/>
                    </w:rPr>
                    <w:t>1MHz</w:t>
                  </w:r>
                </w:p>
                <w:p>
                  <w:pPr>
                    <w:pStyle w:val="null3"/>
                    <w:ind w:firstLine="240"/>
                    <w:jc w:val="both"/>
                  </w:pPr>
                  <w:r>
                    <w:rPr>
                      <w:rFonts w:ascii="仿宋_GB2312" w:hAnsi="仿宋_GB2312" w:cs="仿宋_GB2312" w:eastAsia="仿宋_GB2312"/>
                      <w:sz w:val="24"/>
                    </w:rPr>
                    <w:t>最小交流电压幅值：可达0.1-1000mV</w:t>
                  </w:r>
                </w:p>
                <w:p>
                  <w:pPr>
                    <w:pStyle w:val="null3"/>
                    <w:ind w:firstLine="240"/>
                    <w:jc w:val="both"/>
                  </w:pPr>
                  <w:r>
                    <w:rPr>
                      <w:rFonts w:ascii="仿宋_GB2312" w:hAnsi="仿宋_GB2312" w:cs="仿宋_GB2312" w:eastAsia="仿宋_GB2312"/>
                      <w:sz w:val="24"/>
                    </w:rPr>
                    <w:t>扫描方式：线性或对数</w:t>
                  </w:r>
                </w:p>
                <w:p>
                  <w:pPr>
                    <w:pStyle w:val="null3"/>
                    <w:jc w:val="both"/>
                  </w:pPr>
                  <w:r>
                    <w:rPr>
                      <w:rFonts w:ascii="仿宋_GB2312" w:hAnsi="仿宋_GB2312" w:cs="仿宋_GB2312" w:eastAsia="仿宋_GB2312"/>
                      <w:sz w:val="24"/>
                    </w:rPr>
                    <w:t>（13）仪器标配浮地功能，可以与手套箱等接地电极直接联用，也可以任意两通道组成双恒电位仪，配合圆盘电极等研究反应机理。</w:t>
                  </w:r>
                </w:p>
                <w:p>
                  <w:pPr>
                    <w:pStyle w:val="null3"/>
                    <w:jc w:val="both"/>
                  </w:pPr>
                  <w:r>
                    <w:rPr>
                      <w:rFonts w:ascii="仿宋_GB2312" w:hAnsi="仿宋_GB2312" w:cs="仿宋_GB2312" w:eastAsia="仿宋_GB2312"/>
                      <w:sz w:val="24"/>
                    </w:rPr>
                    <w:t>（14）计算机/软件连接方式：USB接口</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、操作系统：正版Windows 10 专业版 (64 位)及以上操作系统。</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软件提供强大支持用户高质量的电化学测试</w:t>
                  </w:r>
                </w:p>
                <w:p>
                  <w:pPr>
                    <w:pStyle w:val="null3"/>
                    <w:ind w:left="360"/>
                    <w:jc w:val="both"/>
                  </w:pPr>
                  <w:r>
                    <w:rPr>
                      <w:rFonts w:ascii="仿宋_GB2312" w:hAnsi="仿宋_GB2312" w:cs="仿宋_GB2312" w:eastAsia="仿宋_GB2312"/>
                      <w:sz w:val="24"/>
                    </w:rPr>
                    <w:t xml:space="preserve"> </w:t>
                  </w:r>
                  <w:r>
                    <w:rPr>
                      <w:rFonts w:ascii="仿宋_GB2312" w:hAnsi="仿宋_GB2312" w:cs="仿宋_GB2312" w:eastAsia="仿宋_GB2312"/>
                      <w:sz w:val="24"/>
                    </w:rPr>
                    <w:t>自动设置实验参数</w:t>
                  </w:r>
                </w:p>
                <w:p>
                  <w:pPr>
                    <w:pStyle w:val="null3"/>
                    <w:ind w:left="360"/>
                    <w:jc w:val="both"/>
                  </w:pPr>
                  <w:r>
                    <w:rPr>
                      <w:rFonts w:ascii="仿宋_GB2312" w:hAnsi="仿宋_GB2312" w:cs="仿宋_GB2312" w:eastAsia="仿宋_GB2312"/>
                      <w:sz w:val="24"/>
                    </w:rPr>
                    <w:t xml:space="preserve"> </w:t>
                  </w:r>
                  <w:r>
                    <w:rPr>
                      <w:rFonts w:ascii="仿宋_GB2312" w:hAnsi="仿宋_GB2312" w:cs="仿宋_GB2312" w:eastAsia="仿宋_GB2312"/>
                      <w:sz w:val="24"/>
                    </w:rPr>
                    <w:t>实验结果自动设置</w:t>
                  </w:r>
                </w:p>
                <w:p>
                  <w:pPr>
                    <w:pStyle w:val="null3"/>
                    <w:ind w:left="360"/>
                    <w:jc w:val="both"/>
                  </w:pPr>
                  <w:r>
                    <w:rPr>
                      <w:rFonts w:ascii="仿宋_GB2312" w:hAnsi="仿宋_GB2312" w:cs="仿宋_GB2312" w:eastAsia="仿宋_GB2312"/>
                      <w:sz w:val="24"/>
                    </w:rPr>
                    <w:t xml:space="preserve"> </w:t>
                  </w:r>
                  <w:r>
                    <w:rPr>
                      <w:rFonts w:ascii="仿宋_GB2312" w:hAnsi="仿宋_GB2312" w:cs="仿宋_GB2312" w:eastAsia="仿宋_GB2312"/>
                      <w:sz w:val="24"/>
                    </w:rPr>
                    <w:t>电流、电位、时间图示（X，Y1，Y2）</w:t>
                  </w:r>
                </w:p>
                <w:p>
                  <w:pPr>
                    <w:pStyle w:val="null3"/>
                    <w:ind w:left="360"/>
                    <w:jc w:val="both"/>
                  </w:pPr>
                  <w:r>
                    <w:rPr>
                      <w:rFonts w:ascii="仿宋_GB2312" w:hAnsi="仿宋_GB2312" w:cs="仿宋_GB2312" w:eastAsia="仿宋_GB2312"/>
                      <w:sz w:val="24"/>
                    </w:rPr>
                    <w:t xml:space="preserve"> </w:t>
                  </w:r>
                  <w:r>
                    <w:rPr>
                      <w:rFonts w:ascii="仿宋_GB2312" w:hAnsi="仿宋_GB2312" w:cs="仿宋_GB2312" w:eastAsia="仿宋_GB2312"/>
                      <w:sz w:val="24"/>
                    </w:rPr>
                    <w:t>全程、实时数据存储</w:t>
                  </w:r>
                </w:p>
                <w:p>
                  <w:pPr>
                    <w:pStyle w:val="null3"/>
                    <w:ind w:left="360"/>
                    <w:jc w:val="both"/>
                  </w:pPr>
                  <w:r>
                    <w:rPr>
                      <w:rFonts w:ascii="仿宋_GB2312" w:hAnsi="仿宋_GB2312" w:cs="仿宋_GB2312" w:eastAsia="仿宋_GB2312"/>
                      <w:sz w:val="24"/>
                    </w:rPr>
                    <w:t xml:space="preserve"> </w:t>
                  </w:r>
                  <w:r>
                    <w:rPr>
                      <w:rFonts w:ascii="仿宋_GB2312" w:hAnsi="仿宋_GB2312" w:cs="仿宋_GB2312" w:eastAsia="仿宋_GB2312"/>
                      <w:sz w:val="24"/>
                    </w:rPr>
                    <w:t>腐蚀实验中数据分析、拟合（塔菲尔、Rp）</w:t>
                  </w:r>
                </w:p>
                <w:p>
                  <w:pPr>
                    <w:pStyle w:val="null3"/>
                    <w:ind w:left="360"/>
                    <w:jc w:val="both"/>
                  </w:pPr>
                  <w:r>
                    <w:rPr>
                      <w:rFonts w:ascii="仿宋_GB2312" w:hAnsi="仿宋_GB2312" w:cs="仿宋_GB2312" w:eastAsia="仿宋_GB2312"/>
                      <w:sz w:val="24"/>
                    </w:rPr>
                    <w:t xml:space="preserve"> </w:t>
                  </w:r>
                  <w:r>
                    <w:rPr>
                      <w:rFonts w:ascii="仿宋_GB2312" w:hAnsi="仿宋_GB2312" w:cs="仿宋_GB2312" w:eastAsia="仿宋_GB2312"/>
                      <w:sz w:val="24"/>
                    </w:rPr>
                    <w:t>数据输出，以文本形式输出，便于第三方软件处理</w:t>
                  </w:r>
                </w:p>
                <w:p>
                  <w:pPr>
                    <w:pStyle w:val="null3"/>
                    <w:ind w:left="360"/>
                    <w:jc w:val="both"/>
                  </w:pPr>
                  <w:r>
                    <w:rPr>
                      <w:rFonts w:ascii="仿宋_GB2312" w:hAnsi="仿宋_GB2312" w:cs="仿宋_GB2312" w:eastAsia="仿宋_GB2312"/>
                      <w:sz w:val="24"/>
                    </w:rPr>
                    <w:t xml:space="preserve"> </w:t>
                  </w:r>
                  <w:r>
                    <w:rPr>
                      <w:rFonts w:ascii="仿宋_GB2312" w:hAnsi="仿宋_GB2312" w:cs="仿宋_GB2312" w:eastAsia="仿宋_GB2312"/>
                      <w:sz w:val="24"/>
                    </w:rPr>
                    <w:t>线性等基础EIS分析（溶液电阻、极化电阻等）</w:t>
                  </w:r>
                </w:p>
                <w:p>
                  <w:pPr>
                    <w:pStyle w:val="null3"/>
                    <w:ind w:left="360"/>
                    <w:jc w:val="both"/>
                  </w:pPr>
                  <w:r>
                    <w:rPr>
                      <w:rFonts w:ascii="仿宋_GB2312" w:hAnsi="仿宋_GB2312" w:cs="仿宋_GB2312" w:eastAsia="仿宋_GB2312"/>
                      <w:sz w:val="24"/>
                    </w:rPr>
                    <w:t> EIS</w:t>
                  </w:r>
                  <w:r>
                    <w:rPr>
                      <w:rFonts w:ascii="仿宋_GB2312" w:hAnsi="仿宋_GB2312" w:cs="仿宋_GB2312" w:eastAsia="仿宋_GB2312"/>
                      <w:sz w:val="24"/>
                    </w:rPr>
                    <w:t>数据分析（等效电路拟合）</w:t>
                  </w:r>
                </w:p>
                <w:p>
                  <w:pPr>
                    <w:pStyle w:val="null3"/>
                    <w:ind w:left="360"/>
                    <w:jc w:val="both"/>
                  </w:pPr>
                  <w:r>
                    <w:rPr>
                      <w:rFonts w:ascii="仿宋_GB2312" w:hAnsi="仿宋_GB2312" w:cs="仿宋_GB2312" w:eastAsia="仿宋_GB2312"/>
                      <w:sz w:val="24"/>
                    </w:rPr>
                    <w:t xml:space="preserve"> </w:t>
                  </w:r>
                  <w:r>
                    <w:rPr>
                      <w:rFonts w:ascii="仿宋_GB2312" w:hAnsi="仿宋_GB2312" w:cs="仿宋_GB2312" w:eastAsia="仿宋_GB2312"/>
                      <w:sz w:val="24"/>
                    </w:rPr>
                    <w:t>可以在软件进一步开发编程</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压力控制性电动纽扣电池封装机</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、可用于封装 CR2016，CR2025和CR2032扣式电池。</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、采用24V直流电池驱动，可在Ar环境下的手套箱内使用，用于资助Li-S,锂空气和锂离子半电池的测试。</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、数字压力控制器，可保证每次封装时的封装压力一致。可以通过手套箱的过度仓进出手套箱。</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、封装机可以通过手套箱大过度仓。</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CCD</w:t>
                  </w:r>
                  <w:r>
                    <w:rPr>
                      <w:rFonts w:ascii="仿宋_GB2312" w:hAnsi="仿宋_GB2312" w:cs="仿宋_GB2312" w:eastAsia="仿宋_GB2312"/>
                      <w:sz w:val="24"/>
                    </w:rPr>
                    <w:t>相机</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作用：高倍率实时观察样品离子减薄仪或离子束切割系统，与现有离子减薄仪配套使用。</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、兼容性：695(PIPS II), 697(Ilion II)系列；</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、移动轴：X/Y/Z(聚焦)</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、光源：可调光式LED 光源,标准色温；</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、关学放大倍率：x450~x2700( in 21.5 吋 LCD 显示屏)；</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、摄影机：彩色1800万像素CMOS芯片；</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、图像输出：</w:t>
                  </w:r>
                  <w:r>
                    <w:rPr>
                      <w:rFonts w:ascii="仿宋_GB2312" w:hAnsi="仿宋_GB2312" w:cs="仿宋_GB2312" w:eastAsia="仿宋_GB2312"/>
                      <w:sz w:val="21"/>
                    </w:rPr>
                    <w:t>≥</w:t>
                  </w:r>
                  <w:r>
                    <w:rPr>
                      <w:rFonts w:ascii="仿宋_GB2312" w:hAnsi="仿宋_GB2312" w:cs="仿宋_GB2312" w:eastAsia="仿宋_GB2312"/>
                      <w:sz w:val="24"/>
                    </w:rPr>
                    <w:t xml:space="preserve">1920x1080P </w:t>
                  </w:r>
                  <w:r>
                    <w:rPr>
                      <w:rFonts w:ascii="仿宋_GB2312" w:hAnsi="仿宋_GB2312" w:cs="仿宋_GB2312" w:eastAsia="仿宋_GB2312"/>
                      <w:sz w:val="24"/>
                    </w:rPr>
                    <w:t>高清画质、可拍照；</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、影像输出：</w:t>
                  </w:r>
                  <w:r>
                    <w:rPr>
                      <w:rFonts w:ascii="仿宋_GB2312" w:hAnsi="仿宋_GB2312" w:cs="仿宋_GB2312" w:eastAsia="仿宋_GB2312"/>
                      <w:sz w:val="21"/>
                    </w:rPr>
                    <w:t>≥</w:t>
                  </w:r>
                  <w:r>
                    <w:rPr>
                      <w:rFonts w:ascii="仿宋_GB2312" w:hAnsi="仿宋_GB2312" w:cs="仿宋_GB2312" w:eastAsia="仿宋_GB2312"/>
                      <w:sz w:val="24"/>
                    </w:rPr>
                    <w:t>1920x1080P</w:t>
                  </w:r>
                  <w:r>
                    <w:rPr>
                      <w:rFonts w:ascii="仿宋_GB2312" w:hAnsi="仿宋_GB2312" w:cs="仿宋_GB2312" w:eastAsia="仿宋_GB2312"/>
                      <w:sz w:val="24"/>
                    </w:rPr>
                    <w:t>高清画质、可录影。</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单工位手套箱</w:t>
                  </w:r>
                </w:p>
              </w:tc>
              <w:tc>
                <w:tcPr>
                  <w:tcW w:type="dxa" w:w="10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、箱体材料：304 不锈钢，厚度 3mm。内表面：不锈钢拉丝处理。外表面： 喷漆，白色。尺寸：长度≥1220mm，宽度≥750mm，高度≥900mm，玻璃视窗采用实芯O型密封圈（真空密封方式）法兰视窗结构，达到无泄漏，实芯O型圈直径不超过8mm，密封槽为方形凹槽，实芯密封圈安装方式为嵌入密封槽内安装，不接受单层或双层空芯密封圈粘贴在支撑面上的密封方式。</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、过渡舱：材料：304 不锈钢，表面：内表面为拉丝处理，外表面喷漆（白色）。大过渡舱尺寸：直径≥ 360mm,长度≥ 600mm。小过渡舱尺寸：直径 ≥150mm,长度≥300mm。</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、手套口：铝合金材质。</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、循环能力：集成风机流量≥90m3/h，变频控制。</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、气体净化柱：净化材料可再生，且再生过程自动控制、自动除水除氧功能，H2O﹤1ppm ，O2﹤1ppm。</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、气体纯度：水&lt;1ppm，氧&lt;1ppm。</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、小时泄露率：9X10</w:t>
                  </w:r>
                  <w:r>
                    <w:rPr>
                      <w:rFonts w:ascii="仿宋_GB2312" w:hAnsi="仿宋_GB2312" w:cs="仿宋_GB2312" w:eastAsia="仿宋_GB2312"/>
                      <w:sz w:val="24"/>
                      <w:vertAlign w:val="superscript"/>
                    </w:rPr>
                    <w:t>-6</w:t>
                  </w:r>
                  <w:r>
                    <w:rPr>
                      <w:rFonts w:ascii="仿宋_GB2312" w:hAnsi="仿宋_GB2312" w:cs="仿宋_GB2312" w:eastAsia="仿宋_GB2312"/>
                      <w:sz w:val="24"/>
                    </w:rPr>
                    <w:t>h</w:t>
                  </w:r>
                  <w:r>
                    <w:rPr>
                      <w:rFonts w:ascii="仿宋_GB2312" w:hAnsi="仿宋_GB2312" w:cs="仿宋_GB2312" w:eastAsia="仿宋_GB2312"/>
                      <w:sz w:val="24"/>
                      <w:vertAlign w:val="superscript"/>
                    </w:rPr>
                    <w:t>-1</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、气体控制阀：不锈钢电磁集成阀座。</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、真空泵：规格：8m3 /h，旋片泵，带油雾过滤器 ，气振控制</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、水分析仪：测量范围是0～500ppm，不得采用GE探头，水探头可以通过清洗再生程序恢复初始状态，可重复使用，避免了一次污染即报废的问题。</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、氧分析仪：测量范围：0～1000ppm，采用ZrO2传感器，不得采用燃料电池，采用二氧化锆传感器。</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玻璃视窗采用实芯O型密封圈（真空密封方式）法兰视窗结构，达到无泄漏，实芯O型圈直径不超过8mm，密封槽为方形凹槽，实芯密封圈安装方式为嵌入密封槽内安装，不接受单层或双层空芯密封圈粘贴在支撑面上的密封方式。</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、手套箱密封性要求：提供证明文件。</w:t>
                  </w:r>
                </w:p>
                <w:p>
                  <w:pPr>
                    <w:pStyle w:val="null3"/>
                    <w:jc w:val="both"/>
                  </w:pP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1</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pPr>
            <w:r>
              <w:rPr>
                <w:rFonts w:ascii="仿宋_GB2312" w:hAnsi="仿宋_GB2312" w:cs="仿宋_GB2312" w:eastAsia="仿宋_GB2312"/>
                <w:sz w:val="24"/>
                <w:b/>
              </w:rPr>
              <w:t>三、其他要求</w:t>
            </w:r>
          </w:p>
          <w:p>
            <w:pPr>
              <w:pStyle w:val="null3"/>
            </w:pPr>
            <w:r>
              <w:rPr>
                <w:rFonts w:ascii="仿宋_GB2312" w:hAnsi="仿宋_GB2312" w:cs="仿宋_GB2312" w:eastAsia="仿宋_GB2312"/>
                <w:sz w:val="24"/>
              </w:rPr>
              <w:t>1</w:t>
            </w:r>
            <w:r>
              <w:rPr>
                <w:rFonts w:ascii="仿宋_GB2312" w:hAnsi="仿宋_GB2312" w:cs="仿宋_GB2312" w:eastAsia="仿宋_GB2312"/>
                <w:sz w:val="24"/>
              </w:rPr>
              <w:t>、谈判报价包括设备配套固定件、安装与调试；</w:t>
            </w:r>
          </w:p>
          <w:p>
            <w:pPr>
              <w:pStyle w:val="null3"/>
            </w:pPr>
            <w:r>
              <w:rPr>
                <w:rFonts w:ascii="仿宋_GB2312" w:hAnsi="仿宋_GB2312" w:cs="仿宋_GB2312" w:eastAsia="仿宋_GB2312"/>
                <w:sz w:val="24"/>
              </w:rPr>
              <w:t>2</w:t>
            </w:r>
            <w:r>
              <w:rPr>
                <w:rFonts w:ascii="仿宋_GB2312" w:hAnsi="仿宋_GB2312" w:cs="仿宋_GB2312" w:eastAsia="仿宋_GB2312"/>
                <w:sz w:val="24"/>
              </w:rPr>
              <w:t>、供应商所投产品为成熟商业化产品，不接受处于科研阶段或需定制的产品。</w:t>
            </w:r>
          </w:p>
          <w:p>
            <w:pPr>
              <w:pStyle w:val="null3"/>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提供供应商</w:t>
            </w:r>
            <w:r>
              <w:rPr>
                <w:rFonts w:ascii="仿宋_GB2312" w:hAnsi="仿宋_GB2312" w:cs="仿宋_GB2312" w:eastAsia="仿宋_GB2312"/>
                <w:sz w:val="24"/>
              </w:rPr>
              <w:t>202</w:t>
            </w:r>
            <w:r>
              <w:rPr>
                <w:rFonts w:ascii="仿宋_GB2312" w:hAnsi="仿宋_GB2312" w:cs="仿宋_GB2312" w:eastAsia="仿宋_GB2312"/>
                <w:sz w:val="24"/>
              </w:rPr>
              <w:t>2</w:t>
            </w:r>
            <w:r>
              <w:rPr>
                <w:rFonts w:ascii="仿宋_GB2312" w:hAnsi="仿宋_GB2312" w:cs="仿宋_GB2312" w:eastAsia="仿宋_GB2312"/>
                <w:sz w:val="24"/>
              </w:rPr>
              <w:t>年</w:t>
            </w:r>
            <w:r>
              <w:rPr>
                <w:rFonts w:ascii="仿宋_GB2312" w:hAnsi="仿宋_GB2312" w:cs="仿宋_GB2312" w:eastAsia="仿宋_GB2312"/>
                <w:sz w:val="24"/>
              </w:rPr>
              <w:t>1</w:t>
            </w:r>
            <w:r>
              <w:rPr>
                <w:rFonts w:ascii="仿宋_GB2312" w:hAnsi="仿宋_GB2312" w:cs="仿宋_GB2312" w:eastAsia="仿宋_GB2312"/>
                <w:sz w:val="24"/>
              </w:rPr>
              <w:t>月</w:t>
            </w:r>
            <w:r>
              <w:rPr>
                <w:rFonts w:ascii="仿宋_GB2312" w:hAnsi="仿宋_GB2312" w:cs="仿宋_GB2312" w:eastAsia="仿宋_GB2312"/>
                <w:sz w:val="24"/>
              </w:rPr>
              <w:t>1</w:t>
            </w:r>
            <w:r>
              <w:rPr>
                <w:rFonts w:ascii="仿宋_GB2312" w:hAnsi="仿宋_GB2312" w:cs="仿宋_GB2312" w:eastAsia="仿宋_GB2312"/>
                <w:sz w:val="24"/>
              </w:rPr>
              <w:t>日至今同类项目合同（以合同签订日期为准，谈判响应文件中提供合同扫描件加盖公章。）</w:t>
            </w:r>
          </w:p>
          <w:p>
            <w:pPr>
              <w:pStyle w:val="null3"/>
            </w:pPr>
            <w:r>
              <w:rPr>
                <w:rFonts w:ascii="仿宋_GB2312" w:hAnsi="仿宋_GB2312" w:cs="仿宋_GB2312" w:eastAsia="仿宋_GB2312"/>
                <w:sz w:val="24"/>
              </w:rPr>
              <w:t>4</w:t>
            </w:r>
            <w:r>
              <w:rPr>
                <w:rFonts w:ascii="仿宋_GB2312" w:hAnsi="仿宋_GB2312" w:cs="仿宋_GB2312" w:eastAsia="仿宋_GB2312"/>
                <w:sz w:val="24"/>
              </w:rPr>
              <w:t>、设备的质保期为设备验收合格签字之日起3年。质保期内出现故障导致仪器停用时间，应等额延长质保期。质保期内产生的一切费用由投标人承担，提供1次整机免费搬迁服务。质保期结束后提供2年免费人工服务。售后响应时间：2小时响应、4小时到达现场；</w:t>
            </w:r>
          </w:p>
          <w:p>
            <w:pPr>
              <w:pStyle w:val="null3"/>
            </w:pPr>
            <w:r>
              <w:rPr>
                <w:rFonts w:ascii="仿宋_GB2312" w:hAnsi="仿宋_GB2312" w:cs="仿宋_GB2312" w:eastAsia="仿宋_GB2312"/>
                <w:sz w:val="24"/>
              </w:rPr>
              <w:t>5</w:t>
            </w:r>
            <w:r>
              <w:rPr>
                <w:rFonts w:ascii="仿宋_GB2312" w:hAnsi="仿宋_GB2312" w:cs="仿宋_GB2312" w:eastAsia="仿宋_GB2312"/>
                <w:sz w:val="24"/>
              </w:rPr>
              <w:t>、质保期内每年至少2次免费整机及配件的检查、调整和维修保养。保修期满前1个月内供应商应负责一次免费全面检查，如发现潜在问题，应负责排除。潜在缺陷指设备在制造过程中未被发现的隐患，成交供应商对纠正潜在缺陷应负责任，其时间应延续至质保期终止后贰年。当发现这类潜在缺陷时（经双方确认），成交供应商应立即予以无偿修复或更换；</w:t>
            </w:r>
          </w:p>
          <w:p>
            <w:pPr>
              <w:pStyle w:val="null3"/>
            </w:pPr>
            <w:r>
              <w:rPr>
                <w:rFonts w:ascii="仿宋_GB2312" w:hAnsi="仿宋_GB2312" w:cs="仿宋_GB2312" w:eastAsia="仿宋_GB2312"/>
                <w:sz w:val="24"/>
              </w:rPr>
              <w:t>6</w:t>
            </w:r>
            <w:r>
              <w:rPr>
                <w:rFonts w:ascii="仿宋_GB2312" w:hAnsi="仿宋_GB2312" w:cs="仿宋_GB2312" w:eastAsia="仿宋_GB2312"/>
                <w:sz w:val="24"/>
              </w:rPr>
              <w:t>、合同签订之日起90日历日内完成交付、安装及调试；</w:t>
            </w:r>
          </w:p>
          <w:p>
            <w:pPr>
              <w:pStyle w:val="null3"/>
            </w:pPr>
            <w:r>
              <w:rPr>
                <w:rFonts w:ascii="仿宋_GB2312" w:hAnsi="仿宋_GB2312" w:cs="仿宋_GB2312" w:eastAsia="仿宋_GB2312"/>
                <w:sz w:val="24"/>
              </w:rPr>
              <w:t>7</w:t>
            </w:r>
            <w:r>
              <w:rPr>
                <w:rFonts w:ascii="仿宋_GB2312" w:hAnsi="仿宋_GB2312" w:cs="仿宋_GB2312" w:eastAsia="仿宋_GB2312"/>
                <w:sz w:val="24"/>
              </w:rPr>
              <w:t>、培训方案：仪器、软件操作及相关注意事项；</w:t>
            </w:r>
          </w:p>
          <w:p>
            <w:pPr>
              <w:pStyle w:val="null3"/>
            </w:pPr>
            <w:r>
              <w:rPr>
                <w:rFonts w:ascii="仿宋_GB2312" w:hAnsi="仿宋_GB2312" w:cs="仿宋_GB2312" w:eastAsia="仿宋_GB2312"/>
                <w:sz w:val="24"/>
              </w:rPr>
              <w:t>8</w:t>
            </w:r>
            <w:r>
              <w:rPr>
                <w:rFonts w:ascii="仿宋_GB2312" w:hAnsi="仿宋_GB2312" w:cs="仿宋_GB2312" w:eastAsia="仿宋_GB2312"/>
                <w:sz w:val="24"/>
              </w:rPr>
              <w:t>、合同生效后1个月内，供应商负责对用户实验室现场进行预安装免费检测（包括磁场、震动测试等），并搭建满足设备使用要求的环境条件（独立附件室改造），包括电路改造、接地电阻和场地承重改造等。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交货期：合同签订之日起90日历日内完成交付、安装及调试。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西安建筑科技大学草堂校区分析测试中心北区111</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采购人、供应商双方共同开箱验收。在检查货物原产地、型号、规格、配置符合合同要求后，由供应商负责安装调试、采购人使用单位负责技术验收（供应商协助），验收以国内行业标准或合同文本货物供货配置清单中描述的有关技术要求为准。 （3）采购人使用单位初验合格后提出验收申请，学校相关部门根据使用单位技术验收结果，组织有关专家进行货物的最终验收。 （4）其他内容按谈判文件、响应文件及合同约定执行。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质保期：验收合格通过之日起3年（至少包含1年原厂质保）。</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领取成交通知书时，提交纸质谈判响应文件正本壹份、副本贰份、电子版壹份（U盘壹份注明单位名称）编辑目录和页码，内容和通过电子化交易平台实施的政府采购项目提交的谈判响应文件一致。纸质谈判响应文件正副本分别胶装（谈判响应文件建议采用双面打印）。 2、谈判保证金到账（保函提交）截止时间与谈判截止时间一致。 （1）谈判保证金以供应商名称汇款,如以个人汇款，视为无效。 （2）保证金交纳凭证/保函须标明项目编号。 （3）供应商未交纳、未足额交纳或未按规定时间、账号交纳保证金（保函）的，将被视为自动放弃谈判权利。 （4）谈判保证金的交纳单位和供应商的名称必须一致，否则将视为谈判无效。 （5）由于每个项目保证金交纳账号不一样，请各供应商务必仔细核对，由此带来的所有后果由供应商自行承担。 （温馨提示：由于转账当天不一定能够到账，为避免因保证金未到账或延迟到账而导致谈判响应文件符合性审查不通过，建议至少提前1个工作日到账。）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①有效的主体资格证明：具有独立承担民事责任能力的法人、其他组织或自然人，并出具合法有效的营业执照或事业单位法人证书等国家规定的相关证明，自然人参与的提供其身份证明。 ②税收缴纳证明：提供2024年4月至今已缴纳至少一个月的依法缴纳税款的相关凭据（时间以税款所属日期为准），凭据应有税务机关或代收机关的公章或业务专用章。依法免税或无须缴纳税款的投标人，应提供相关证明文件。 ③社会保障资金缴存证明：提供2024年4月至今已缴存的至少一个月的社会保障资金缴存单据或社保机构开具的社会保险参保缴费情况证明，依法不需要缴纳社会保障资金的单位应提供相关证明材料。 ④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 ⑤承诺函：提供具有履行合同所必需的设备和专业技术能力的承诺函。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有效的2023年度或2024年度审计报告（成立时间至提交投标文件截止时间不足一年的可提供成立后任意时段的资产负债表），或提交自2024年10月1日以来银行出具的资信证明，或信用担保机构出具的投标担保函（以上三种形式的资料提供任何一种即可）；其他组织和自然人提供银行出具的资信证明或财务报表。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供应商承诺书.docx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法定代表人授权书及被授权人身份证明。（法定代表人直接谈判只须提供其身份证明）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所投进口产品的完整授权链证明材料</w:t>
            </w:r>
          </w:p>
        </w:tc>
        <w:tc>
          <w:tcPr>
            <w:tcW w:type="dxa" w:w="3322"/>
          </w:tcPr>
          <w:p>
            <w:pPr>
              <w:pStyle w:val="null3"/>
            </w:pPr>
            <w:r>
              <w:rPr>
                <w:rFonts w:ascii="仿宋_GB2312" w:hAnsi="仿宋_GB2312" w:cs="仿宋_GB2312" w:eastAsia="仿宋_GB2312"/>
              </w:rPr>
              <w:t>所投产品如为进口产品，提供所投进口产品的完整授权链证明材料。</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中小企业声明函 报价表 供应商承诺书.docx 技术指标偏差表.docx 商务条款响应说明.docx 响应文件封面 分项报价表.docx 残疾人福利性单位声明函 保证金缴纳凭证.docx 标的清单 响应报价表.docx 谈判响应方案说明.docx 响应函 监狱企业的证明文件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有下列情形之一的，应在符合性审查时按照无效响应处理： (1)响应文件未按照采购文件规定要求签署、盖章； (2)不满足本谈判文件中“交货时间、交货地点、采购资金的支付方式及约定、质量保修范围和保修期”的实质性条款要求； (3)谈判有效期不足或无有效期； (4)报价超过谈判文件中规定的最高限价； (5)保证金交纳不符合谈判文件要求； (6)未提供或未填写产品使用寿命承诺函； (7)未提供供应商2022年1月1日至今同类项目合同（以合同签订日期为准，谈判响应文件中提供合同扫描件加盖公章）； (8)法律、法规和谈判文件规定的其他无效情形。</w:t>
            </w:r>
          </w:p>
        </w:tc>
        <w:tc>
          <w:tcPr>
            <w:tcW w:type="dxa" w:w="1661"/>
          </w:tcPr>
          <w:p>
            <w:pPr>
              <w:pStyle w:val="null3"/>
            </w:pPr>
            <w:r>
              <w:rPr>
                <w:rFonts w:ascii="仿宋_GB2312" w:hAnsi="仿宋_GB2312" w:cs="仿宋_GB2312" w:eastAsia="仿宋_GB2312"/>
              </w:rPr>
              <w:t>中小企业声明函 供应商承诺书.docx 技术指标偏差表.docx 商务条款响应说明.docx 响应文件封面 分项报价表.docx 残疾人福利性单位声明函 标的清单 保证金缴纳凭证.docx 响应报价表.docx 谈判响应方案说明.docx 响应函 监狱企业的证明文件 供应商资格条件证明文件.docx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详见附件：谈判响应方案说明.docx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