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版本号：RTZB-2025-201320250428001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体育彩票传统终端机采购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RTZB-2025-2013</w:t>
      </w:r>
      <w:r>
        <w:br/>
      </w:r>
      <w:r>
        <w:br/>
      </w:r>
      <w:r>
        <w:br/>
      </w:r>
    </w:p>
    <w:p>
      <w:pPr>
        <w:pStyle w:val="null3"/>
        <w:jc w:val="center"/>
        <w:outlineLvl w:val="2"/>
      </w:pPr>
      <w:r>
        <w:rPr>
          <w:rFonts w:ascii="仿宋_GB2312" w:hAnsi="仿宋_GB2312" w:cs="仿宋_GB2312" w:eastAsia="仿宋_GB2312"/>
          <w:sz w:val="28"/>
          <w:b/>
        </w:rPr>
        <w:t>陕西省体育彩票管理中心</w:t>
      </w:r>
    </w:p>
    <w:p>
      <w:pPr>
        <w:pStyle w:val="null3"/>
        <w:jc w:val="center"/>
        <w:outlineLvl w:val="2"/>
      </w:pPr>
      <w:r>
        <w:rPr>
          <w:rFonts w:ascii="仿宋_GB2312" w:hAnsi="仿宋_GB2312" w:cs="仿宋_GB2312" w:eastAsia="仿宋_GB2312"/>
          <w:sz w:val="28"/>
          <w:b/>
        </w:rPr>
        <w:t>陕西瑞通工程造价咨询有限公司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陕西瑞通工程造价咨询有限公司</w:t>
      </w:r>
      <w:r>
        <w:rPr>
          <w:rFonts w:ascii="仿宋_GB2312" w:hAnsi="仿宋_GB2312" w:cs="仿宋_GB2312" w:eastAsia="仿宋_GB2312"/>
        </w:rPr>
        <w:t>（以下简称“代理机构”）受</w:t>
      </w:r>
      <w:r>
        <w:rPr>
          <w:rFonts w:ascii="仿宋_GB2312" w:hAnsi="仿宋_GB2312" w:cs="仿宋_GB2312" w:eastAsia="仿宋_GB2312"/>
        </w:rPr>
        <w:t>陕西省体育彩票管理中心</w:t>
      </w:r>
      <w:r>
        <w:rPr>
          <w:rFonts w:ascii="仿宋_GB2312" w:hAnsi="仿宋_GB2312" w:cs="仿宋_GB2312" w:eastAsia="仿宋_GB2312"/>
        </w:rPr>
        <w:t>委托，拟对</w:t>
      </w:r>
      <w:r>
        <w:rPr>
          <w:rFonts w:ascii="仿宋_GB2312" w:hAnsi="仿宋_GB2312" w:cs="仿宋_GB2312" w:eastAsia="仿宋_GB2312"/>
        </w:rPr>
        <w:t>体育彩票传统终端机采购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RTZB-2025-2013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体育彩票传统终端机采购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体育彩票管理中心现采购体育彩票传统终端机1750台，共2个采购包，其中采购包1终端机900台，采购预算1170万元，采购包2终端机850台，采购预算1105万元，合同签订后15天内将所有产品发送至采购人指定收货地点，具体详见采购需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采购包1（体育彩票传统终端机采购）：属于专门面向中小企业采购。</w:t>
      </w:r>
    </w:p>
    <w:p>
      <w:pPr>
        <w:pStyle w:val="null3"/>
      </w:pPr>
      <w:r>
        <w:rPr>
          <w:rFonts w:ascii="仿宋_GB2312" w:hAnsi="仿宋_GB2312" w:cs="仿宋_GB2312" w:eastAsia="仿宋_GB2312"/>
        </w:rPr>
        <w:t>采购包2（体育彩票传统终端机采购）：属于专门面向中小企业采购。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证明：未被信用中国网站列入失信被执行人和重大税收违法案件当事人名单、未被中国政府采购网列入政府采购严重违法失信行为记录名单（开标时系统查询）。提供参加本次政府采购活动前3年内在经营活动中没有重大违纪的书面声明。</w:t>
      </w:r>
    </w:p>
    <w:p>
      <w:pPr>
        <w:pStyle w:val="null3"/>
      </w:pPr>
      <w:r>
        <w:rPr>
          <w:rFonts w:ascii="仿宋_GB2312" w:hAnsi="仿宋_GB2312" w:cs="仿宋_GB2312" w:eastAsia="仿宋_GB2312"/>
        </w:rPr>
        <w:t>2、注册证照：法人单位提供带有统一社会信用代码营业执照，未提供的接受采购人通过国家企业信用信息公示系统（http://www.gsxt.gov.cn/index.html）进行相关信息的核实，并承担核实不到的后果；事业单位提供事业单位法人登记证；其他组织提供民办非企业单位登记证；专业服务机构提供执业许可证等；自然人提供身份证。</w:t>
      </w:r>
    </w:p>
    <w:p>
      <w:pPr>
        <w:pStyle w:val="null3"/>
      </w:pPr>
      <w:r>
        <w:rPr>
          <w:rFonts w:ascii="仿宋_GB2312" w:hAnsi="仿宋_GB2312" w:cs="仿宋_GB2312" w:eastAsia="仿宋_GB2312"/>
        </w:rPr>
        <w:t>3、财务状况证明：提供2023或2024年度经第三方会计事务所审计过的财务报告，或投标截止时间前90天内基本账户银行出具的资信证明。注：①提供财务报告的，内容至少包括：审计报告、附注。②提供资信证明的，必须提供资信证明全部页以及基本户信息（提供开户许可证复印件或提供基本银行账户信息复印件加盖公章）。银行出具的存款证明不能代替资信证明，存款证明无效。</w:t>
      </w:r>
    </w:p>
    <w:p>
      <w:pPr>
        <w:pStyle w:val="null3"/>
      </w:pPr>
      <w:r>
        <w:rPr>
          <w:rFonts w:ascii="仿宋_GB2312" w:hAnsi="仿宋_GB2312" w:cs="仿宋_GB2312" w:eastAsia="仿宋_GB2312"/>
        </w:rPr>
        <w:t>4、纳税证明：提供 2024年至今至少一次依法纳税的相关凭证(税种至少为增值税或企业所得税中的一种);依法免税或无须缴纳税收的应提供链条完整的证明;成立不足一个月的提供将依法纳税的承诺书(格式自拟)。注:①零报税的提供申报成功的凭证。②时间以税款所属时段为准。</w:t>
      </w:r>
    </w:p>
    <w:p>
      <w:pPr>
        <w:pStyle w:val="null3"/>
      </w:pPr>
      <w:r>
        <w:rPr>
          <w:rFonts w:ascii="仿宋_GB2312" w:hAnsi="仿宋_GB2312" w:cs="仿宋_GB2312" w:eastAsia="仿宋_GB2312"/>
        </w:rPr>
        <w:t>5、社会保障资金缴纳证明：提供2024年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单据应显示社保缴存项（任一项）。</w:t>
      </w:r>
    </w:p>
    <w:p>
      <w:pPr>
        <w:pStyle w:val="null3"/>
      </w:pPr>
      <w:r>
        <w:rPr>
          <w:rFonts w:ascii="仿宋_GB2312" w:hAnsi="仿宋_GB2312" w:cs="仿宋_GB2312" w:eastAsia="仿宋_GB2312"/>
        </w:rPr>
        <w:t>6、履约能力证明：提供具有履行本合同所必需的专业技术能力的书面声明。</w:t>
      </w:r>
    </w:p>
    <w:p>
      <w:pPr>
        <w:pStyle w:val="null3"/>
      </w:pPr>
      <w:r>
        <w:rPr>
          <w:rFonts w:ascii="仿宋_GB2312" w:hAnsi="仿宋_GB2312" w:cs="仿宋_GB2312" w:eastAsia="仿宋_GB2312"/>
        </w:rPr>
        <w:t>7、联合体投标：不接受联合体，提供非联合体声明。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信用证明：未被信用中国网站列入失信被执行人和重大税收违法案件当事人名单、未被中国政府采购网列入政府采购严重违法失信行为记录名单（开标时系统查询）。提供参加本次政府采购活动前3年内在经营活动中没有重大违纪的书面声明。</w:t>
      </w:r>
    </w:p>
    <w:p>
      <w:pPr>
        <w:pStyle w:val="null3"/>
      </w:pPr>
      <w:r>
        <w:rPr>
          <w:rFonts w:ascii="仿宋_GB2312" w:hAnsi="仿宋_GB2312" w:cs="仿宋_GB2312" w:eastAsia="仿宋_GB2312"/>
        </w:rPr>
        <w:t>2、注册证照：法人单位提供带有统一社会信用代码营业执照，未提供的接受采购人通过国家企业信用信息公示系统（http://www.gsxt.gov.cn/index.html）进行相关信息的核实，并承担核实不到的后果；事业单位提供事业单位法人登记证；其他组织提供民办非企业单位登记证；专业服务机构提供执业许可证等；自然人提供身份证。</w:t>
      </w:r>
    </w:p>
    <w:p>
      <w:pPr>
        <w:pStyle w:val="null3"/>
      </w:pPr>
      <w:r>
        <w:rPr>
          <w:rFonts w:ascii="仿宋_GB2312" w:hAnsi="仿宋_GB2312" w:cs="仿宋_GB2312" w:eastAsia="仿宋_GB2312"/>
        </w:rPr>
        <w:t>3、财务状况证明：提供2023或2024年度经第三方会计事务所审计过的财务报告，或投标截止时间前90天内基本账户银行出具的资信证明。注：①提供财务报告的，内容至少包括：审计报告、附注。②提供资信证明的，必须提供资信证明全部页以及基本户信息（提供开户许可证复印件或提供基本银行账户信息复印件加盖公章）。银行出具的存款证明不能代替资信证明，存款证明无效。</w:t>
      </w:r>
    </w:p>
    <w:p>
      <w:pPr>
        <w:pStyle w:val="null3"/>
      </w:pPr>
      <w:r>
        <w:rPr>
          <w:rFonts w:ascii="仿宋_GB2312" w:hAnsi="仿宋_GB2312" w:cs="仿宋_GB2312" w:eastAsia="仿宋_GB2312"/>
        </w:rPr>
        <w:t>4、纳税证明：提供 2024 年至今至少一次依法纳税的相关凭证(税种至少为增值税或企业所得税中的一种);依法免税或无须缴纳税收的应提供链条完整的证明;成立不足一个月的提供将依法纳税的承诺书(格式自拟)。注:①零报税的提供申报成功的凭证。②时间以税款所属时段为准。</w:t>
      </w:r>
    </w:p>
    <w:p>
      <w:pPr>
        <w:pStyle w:val="null3"/>
      </w:pPr>
      <w:r>
        <w:rPr>
          <w:rFonts w:ascii="仿宋_GB2312" w:hAnsi="仿宋_GB2312" w:cs="仿宋_GB2312" w:eastAsia="仿宋_GB2312"/>
        </w:rPr>
        <w:t>5、社会保障资金缴纳证明：提供2024年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单据应显示社保缴存项（任一项）。</w:t>
      </w:r>
    </w:p>
    <w:p>
      <w:pPr>
        <w:pStyle w:val="null3"/>
      </w:pPr>
      <w:r>
        <w:rPr>
          <w:rFonts w:ascii="仿宋_GB2312" w:hAnsi="仿宋_GB2312" w:cs="仿宋_GB2312" w:eastAsia="仿宋_GB2312"/>
        </w:rPr>
        <w:t>6、履约能力证明：提供具有履行本合同所必需的专业技术能力的书面声明。</w:t>
      </w:r>
    </w:p>
    <w:p>
      <w:pPr>
        <w:pStyle w:val="null3"/>
      </w:pPr>
      <w:r>
        <w:rPr>
          <w:rFonts w:ascii="仿宋_GB2312" w:hAnsi="仿宋_GB2312" w:cs="仿宋_GB2312" w:eastAsia="仿宋_GB2312"/>
        </w:rPr>
        <w:t>7、联合体投标：不接受联合体，提供非联合体声明。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陕西省体育彩票管理中心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建西街99号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029-85219176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陕西瑞通工程造价咨询有限公司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西安市高新区科技路30号合力紫郡A座2204室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贾堃 水思楠 张晨 张岩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029-88224132-8007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采购包1：11,700,000.00元</w:t>
            </w:r>
          </w:p>
          <w:p>
            <w:pPr>
              <w:pStyle w:val="null3"/>
            </w:pPr>
            <w:r>
              <w:rPr>
                <w:rFonts w:ascii="仿宋_GB2312" w:hAnsi="仿宋_GB2312" w:cs="仿宋_GB2312" w:eastAsia="仿宋_GB2312"/>
              </w:rPr>
              <w:t>采购包2：11,050,000.00元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采购包1保证金金额：210,000.00元</w:t>
            </w:r>
          </w:p>
          <w:p>
            <w:pPr>
              <w:pStyle w:val="null3"/>
            </w:pPr>
            <w:r>
              <w:rPr>
                <w:rFonts w:ascii="仿宋_GB2312" w:hAnsi="仿宋_GB2312" w:cs="仿宋_GB2312" w:eastAsia="仿宋_GB2312"/>
              </w:rPr>
              <w:t>采购包2保证金金额：200,000.00元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开户名称：陕西瑞通工程造价咨询有限公司</w:t>
            </w:r>
          </w:p>
          <w:p>
            <w:pPr>
              <w:pStyle w:val="null3"/>
            </w:pPr>
            <w:r>
              <w:rPr>
                <w:rFonts w:ascii="仿宋_GB2312" w:hAnsi="仿宋_GB2312" w:cs="仿宋_GB2312" w:eastAsia="仿宋_GB2312"/>
              </w:rPr>
              <w:t>开户银行：中国民生银行西安分行营业部</w:t>
            </w:r>
          </w:p>
          <w:p>
            <w:pPr>
              <w:pStyle w:val="null3"/>
            </w:pPr>
            <w:r>
              <w:rPr>
                <w:rFonts w:ascii="仿宋_GB2312" w:hAnsi="仿宋_GB2312" w:cs="仿宋_GB2312" w:eastAsia="仿宋_GB2312"/>
              </w:rPr>
              <w:t>银行账号：698207824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代理服务费收费标准：参照国家计委颁布的《招标代理服务收费管理暂行办法》（计价格[2002]1980号）及发改办价格[2003]857号文件的规定收取，投标人在下载中标通知书时一次性缴清。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陕西省体育彩票管理中心</w:t>
      </w:r>
      <w:r>
        <w:rPr>
          <w:rFonts w:ascii="仿宋_GB2312" w:hAnsi="仿宋_GB2312" w:cs="仿宋_GB2312" w:eastAsia="仿宋_GB2312"/>
        </w:rPr>
        <w:t>和</w:t>
      </w:r>
      <w:r>
        <w:rPr>
          <w:rFonts w:ascii="仿宋_GB2312" w:hAnsi="仿宋_GB2312" w:cs="仿宋_GB2312" w:eastAsia="仿宋_GB2312"/>
        </w:rPr>
        <w:t>陕西瑞通工程造价咨询有限公司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陕西省体育彩票管理中心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陕西瑞通工程造价咨询有限公司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陕西省体育彩票管理中心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陕西瑞通工程造价咨询有限公司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联系人：贾工 喻工</w:t>
      </w:r>
    </w:p>
    <w:p>
      <w:pPr>
        <w:pStyle w:val="null3"/>
      </w:pPr>
      <w:r>
        <w:rPr>
          <w:rFonts w:ascii="仿宋_GB2312" w:hAnsi="仿宋_GB2312" w:cs="仿宋_GB2312" w:eastAsia="仿宋_GB2312"/>
        </w:rPr>
        <w:t>联系电话：029-88224132-8007</w:t>
      </w:r>
    </w:p>
    <w:p>
      <w:pPr>
        <w:pStyle w:val="null3"/>
      </w:pPr>
      <w:r>
        <w:rPr>
          <w:rFonts w:ascii="仿宋_GB2312" w:hAnsi="仿宋_GB2312" w:cs="仿宋_GB2312" w:eastAsia="仿宋_GB2312"/>
        </w:rPr>
        <w:t>地址：西安市高新区科技路30号合力紫郡A座2204室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体育彩票管理中心现采购体育彩票传统终端机1750台，共2个采购包，其中采购包1终端机900台，采购预算1170万元，采购包2终端机850台，采购预算1105万元，合同签订后15天内将所有产品发送至采购人指定收货地点，具体详见采购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11,700,000.00</w:t>
      </w:r>
    </w:p>
    <w:p>
      <w:pPr>
        <w:pStyle w:val="null3"/>
      </w:pPr>
      <w:r>
        <w:rPr>
          <w:rFonts w:ascii="仿宋_GB2312" w:hAnsi="仿宋_GB2312" w:cs="仿宋_GB2312" w:eastAsia="仿宋_GB2312"/>
        </w:rPr>
        <w:t>采购包最高限价（元）: 11,700,000.00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体育彩票传统终端机</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right"/>
            </w:pPr>
            <w:r>
              <w:rPr>
                <w:rFonts w:ascii="仿宋_GB2312" w:hAnsi="仿宋_GB2312" w:cs="仿宋_GB2312" w:eastAsia="仿宋_GB2312"/>
              </w:rPr>
              <w:t>11,700,000.00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11,050,000.00</w:t>
      </w:r>
    </w:p>
    <w:p>
      <w:pPr>
        <w:pStyle w:val="null3"/>
      </w:pPr>
      <w:r>
        <w:rPr>
          <w:rFonts w:ascii="仿宋_GB2312" w:hAnsi="仿宋_GB2312" w:cs="仿宋_GB2312" w:eastAsia="仿宋_GB2312"/>
        </w:rPr>
        <w:t>采购包最高限价（元）: 11,050,000.00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体育彩票传统终端机</w:t>
            </w:r>
          </w:p>
        </w:tc>
        <w:tc>
          <w:tcPr>
            <w:tcW w:type="dxa" w:w="831"/>
          </w:tcPr>
          <w:p>
            <w:pPr>
              <w:pStyle w:val="null3"/>
              <w:jc w:val="right"/>
            </w:pPr>
            <w:r>
              <w:rPr>
                <w:rFonts w:ascii="仿宋_GB2312" w:hAnsi="仿宋_GB2312" w:cs="仿宋_GB2312" w:eastAsia="仿宋_GB2312"/>
              </w:rPr>
              <w:t>850.00</w:t>
            </w:r>
          </w:p>
        </w:tc>
        <w:tc>
          <w:tcPr>
            <w:tcW w:type="dxa" w:w="831"/>
          </w:tcPr>
          <w:p>
            <w:pPr>
              <w:pStyle w:val="null3"/>
              <w:jc w:val="right"/>
            </w:pPr>
            <w:r>
              <w:rPr>
                <w:rFonts w:ascii="仿宋_GB2312" w:hAnsi="仿宋_GB2312" w:cs="仿宋_GB2312" w:eastAsia="仿宋_GB2312"/>
              </w:rPr>
              <w:t>11,050,000.00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标的名称：体育彩票传统终端机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FF"/>
              </w:rPr>
              <w:t>投标厂商必须是国家体彩中心体彩字</w:t>
            </w:r>
            <w:r>
              <w:rPr>
                <w:rFonts w:ascii="仿宋_GB2312" w:hAnsi="仿宋_GB2312" w:cs="仿宋_GB2312" w:eastAsia="仿宋_GB2312"/>
                <w:sz w:val="24"/>
                <w:color w:val="0000FF"/>
              </w:rPr>
              <w:t>[2023]317号《国家体育总局体育彩票管理中心关于更新体育彩票电脑彩票传统终端机通过测试目录的通知》文件所列标准型传统终端机序列可选用机型的入围厂商。</w:t>
            </w:r>
            <w:r>
              <w:rPr>
                <w:rFonts w:ascii="仿宋_GB2312" w:hAnsi="仿宋_GB2312" w:cs="仿宋_GB2312" w:eastAsia="仿宋_GB2312"/>
                <w:sz w:val="24"/>
                <w:b/>
                <w:color w:val="0000FF"/>
              </w:rPr>
              <w:t>须提供证明资料，未提供或不能证明的为无效投标。</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FF"/>
              </w:rPr>
              <w:t>投标产品及型号必须在国家体彩中心体彩字</w:t>
            </w:r>
            <w:r>
              <w:rPr>
                <w:rFonts w:ascii="仿宋_GB2312" w:hAnsi="仿宋_GB2312" w:cs="仿宋_GB2312" w:eastAsia="仿宋_GB2312"/>
                <w:sz w:val="24"/>
                <w:color w:val="0000FF"/>
              </w:rPr>
              <w:t>[2023]317号《国家体育总局体育彩票管理中心关于更新体育彩票电脑彩票传统终端机通过测试目录的通知》文件所列出的标准型传统终端机序列内。</w:t>
            </w:r>
            <w:r>
              <w:rPr>
                <w:rFonts w:ascii="仿宋_GB2312" w:hAnsi="仿宋_GB2312" w:cs="仿宋_GB2312" w:eastAsia="仿宋_GB2312"/>
                <w:sz w:val="24"/>
                <w:b/>
                <w:color w:val="0000FF"/>
              </w:rPr>
              <w:t>须提供证明资料，未提供或不能证明的为无效投标。</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FF"/>
              </w:rPr>
              <w:t>投标产品必须保证与陕西省体育彩票销售系统相匹配，和现有在用终端机主要配件通用性高，国家体彩中心提供的彩票销售软件安装后能够实现彩票销售、兑奖等全部功能，且各项性能指标符合国家体彩中心二代系统及高频信息显示系统终端标准规范。</w:t>
            </w:r>
            <w:r>
              <w:rPr>
                <w:rFonts w:ascii="仿宋_GB2312" w:hAnsi="仿宋_GB2312" w:cs="仿宋_GB2312" w:eastAsia="仿宋_GB2312"/>
                <w:sz w:val="24"/>
                <w:b/>
                <w:color w:val="0000FF"/>
              </w:rPr>
              <w:t>需提供书面承诺书，未提供的为无效投标。</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4"/>
                <w:color w:val="0000FF"/>
              </w:rPr>
              <w:t>主要技术参数</w:t>
            </w:r>
          </w:p>
          <w:tbl>
            <w:tblPr>
              <w:tblInd w:type="dxa" w:w="120"/>
              <w:tblBorders>
                <w:top w:val="none" w:color="000000" w:sz="4"/>
                <w:left w:val="none" w:color="000000" w:sz="4"/>
                <w:bottom w:val="none" w:color="000000" w:sz="4"/>
                <w:right w:val="none" w:color="000000" w:sz="4"/>
                <w:insideH w:val="none"/>
                <w:insideV w:val="none"/>
              </w:tblBorders>
            </w:tblPr>
            <w:tblGrid>
              <w:gridCol w:w="592"/>
              <w:gridCol w:w="1961"/>
            </w:tblGrid>
            <w:tr>
              <w:tc>
                <w:tcPr>
                  <w:tcW w:type="dxa" w:w="592"/>
                  <w:tcBorders>
                    <w:top w:val="outset" w:color="000000" w:sz="4"/>
                    <w:left w:val="outset" w:color="000000" w:sz="4"/>
                    <w:bottom w:val="outset" w:color="000000" w:sz="4"/>
                    <w:right w:val="outset" w:color="000000" w:sz="4"/>
                  </w:tcBorders>
                  <w:tcMar>
                    <w:top w:type="dxa" w:w="0"/>
                    <w:left w:type="dxa" w:w="0"/>
                    <w:bottom w:type="dxa" w:w="0"/>
                    <w:right w:type="dxa" w:w="0"/>
                  </w:tcMar>
                  <w:vAlign w:val="top"/>
                </w:tcPr>
                <w:p>
                  <w:pPr>
                    <w:pStyle w:val="null3"/>
                    <w:ind w:left="120"/>
                    <w:jc w:val="left"/>
                  </w:pPr>
                  <w:r>
                    <w:rPr>
                      <w:rFonts w:ascii="仿宋_GB2312" w:hAnsi="仿宋_GB2312" w:cs="仿宋_GB2312" w:eastAsia="仿宋_GB2312"/>
                      <w:sz w:val="24"/>
                      <w:color w:val="0000FF"/>
                    </w:rPr>
                    <w:t>主板</w:t>
                  </w:r>
                </w:p>
              </w:tc>
              <w:tc>
                <w:tcPr>
                  <w:tcW w:type="dxa" w:w="1961"/>
                  <w:tcBorders>
                    <w:top w:val="outset"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FF"/>
                    </w:rPr>
                    <w:t>工业控制级主板；前端总线</w:t>
                  </w:r>
                  <w:r>
                    <w:rPr>
                      <w:rFonts w:ascii="仿宋_GB2312" w:hAnsi="仿宋_GB2312" w:cs="仿宋_GB2312" w:eastAsia="仿宋_GB2312"/>
                      <w:sz w:val="24"/>
                      <w:color w:val="0000FF"/>
                    </w:rPr>
                    <w:t>≥1300MHz；电容耐温值≥105℃；集成声卡；集成网卡</w:t>
                  </w:r>
                </w:p>
              </w:tc>
            </w:tr>
            <w:tr>
              <w:tc>
                <w:tcPr>
                  <w:tcW w:type="dxa" w:w="592"/>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ind w:left="120"/>
                    <w:jc w:val="left"/>
                  </w:pPr>
                  <w:r>
                    <w:rPr>
                      <w:rFonts w:ascii="仿宋_GB2312" w:hAnsi="仿宋_GB2312" w:cs="仿宋_GB2312" w:eastAsia="仿宋_GB2312"/>
                      <w:sz w:val="24"/>
                      <w:color w:val="0000FF"/>
                    </w:rPr>
                    <w:t>CPU</w:t>
                  </w:r>
                </w:p>
              </w:tc>
              <w:tc>
                <w:tcPr>
                  <w:tcW w:type="dxa" w:w="1961"/>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FF"/>
                    </w:rPr>
                    <w:t>核心数</w:t>
                  </w:r>
                  <w:r>
                    <w:rPr>
                      <w:rFonts w:ascii="仿宋_GB2312" w:hAnsi="仿宋_GB2312" w:cs="仿宋_GB2312" w:eastAsia="仿宋_GB2312"/>
                      <w:sz w:val="24"/>
                      <w:color w:val="0000FF"/>
                    </w:rPr>
                    <w:t>≥2核；主频≥3.6GHz</w:t>
                  </w:r>
                </w:p>
              </w:tc>
            </w:tr>
            <w:tr>
              <w:tc>
                <w:tcPr>
                  <w:tcW w:type="dxa" w:w="592"/>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ind w:left="120"/>
                    <w:jc w:val="left"/>
                  </w:pPr>
                  <w:r>
                    <w:rPr>
                      <w:rFonts w:ascii="仿宋_GB2312" w:hAnsi="仿宋_GB2312" w:cs="仿宋_GB2312" w:eastAsia="仿宋_GB2312"/>
                      <w:sz w:val="24"/>
                      <w:color w:val="0000FF"/>
                    </w:rPr>
                    <w:t>内存</w:t>
                  </w:r>
                </w:p>
              </w:tc>
              <w:tc>
                <w:tcPr>
                  <w:tcW w:type="dxa" w:w="1961"/>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FF"/>
                    </w:rPr>
                    <w:t>容量</w:t>
                  </w:r>
                  <w:r>
                    <w:rPr>
                      <w:rFonts w:ascii="仿宋_GB2312" w:hAnsi="仿宋_GB2312" w:cs="仿宋_GB2312" w:eastAsia="仿宋_GB2312"/>
                      <w:sz w:val="24"/>
                      <w:color w:val="0000FF"/>
                    </w:rPr>
                    <w:t>≥8G；类型：DDR4</w:t>
                  </w:r>
                </w:p>
              </w:tc>
            </w:tr>
            <w:tr>
              <w:tc>
                <w:tcPr>
                  <w:tcW w:type="dxa" w:w="592"/>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ind w:left="120"/>
                    <w:jc w:val="left"/>
                  </w:pPr>
                  <w:r>
                    <w:rPr>
                      <w:rFonts w:ascii="仿宋_GB2312" w:hAnsi="仿宋_GB2312" w:cs="仿宋_GB2312" w:eastAsia="仿宋_GB2312"/>
                      <w:sz w:val="24"/>
                      <w:color w:val="0000FF"/>
                    </w:rPr>
                    <w:t>存储</w:t>
                  </w:r>
                </w:p>
              </w:tc>
              <w:tc>
                <w:tcPr>
                  <w:tcW w:type="dxa" w:w="1961"/>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FF"/>
                    </w:rPr>
                    <w:t>容量</w:t>
                  </w:r>
                  <w:r>
                    <w:rPr>
                      <w:rFonts w:ascii="仿宋_GB2312" w:hAnsi="仿宋_GB2312" w:cs="仿宋_GB2312" w:eastAsia="仿宋_GB2312"/>
                      <w:sz w:val="24"/>
                      <w:color w:val="0000FF"/>
                    </w:rPr>
                    <w:t>≥128G；接口类型：SSD/DOM</w:t>
                  </w:r>
                </w:p>
              </w:tc>
            </w:tr>
            <w:tr>
              <w:tc>
                <w:tcPr>
                  <w:tcW w:type="dxa" w:w="592"/>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ind w:left="120"/>
                    <w:jc w:val="left"/>
                  </w:pPr>
                  <w:r>
                    <w:rPr>
                      <w:rFonts w:ascii="仿宋_GB2312" w:hAnsi="仿宋_GB2312" w:cs="仿宋_GB2312" w:eastAsia="仿宋_GB2312"/>
                      <w:sz w:val="24"/>
                      <w:color w:val="0000FF"/>
                    </w:rPr>
                    <w:t>读票机</w:t>
                  </w:r>
                </w:p>
              </w:tc>
              <w:tc>
                <w:tcPr>
                  <w:tcW w:type="dxa" w:w="1961"/>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FF"/>
                    </w:rPr>
                    <w:t>扫描宽度</w:t>
                  </w:r>
                  <w:r>
                    <w:rPr>
                      <w:rFonts w:ascii="仿宋_GB2312" w:hAnsi="仿宋_GB2312" w:cs="仿宋_GB2312" w:eastAsia="仿宋_GB2312"/>
                      <w:sz w:val="24"/>
                      <w:color w:val="0000FF"/>
                    </w:rPr>
                    <w:t>&gt;200毫米（A4幅面）；支持OCR或CIS高速扫描；有标记打印功能，标记内容可编辑，支持西文、中文、图像打印；能够识别一维、二维条码；误码率&lt;0.1%；卡纸率&lt;0.1%；USB接口</w:t>
                  </w:r>
                </w:p>
              </w:tc>
            </w:tr>
            <w:tr>
              <w:tc>
                <w:tcPr>
                  <w:tcW w:type="dxa" w:w="592"/>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ind w:left="120"/>
                    <w:jc w:val="left"/>
                  </w:pPr>
                  <w:r>
                    <w:rPr>
                      <w:rFonts w:ascii="仿宋_GB2312" w:hAnsi="仿宋_GB2312" w:cs="仿宋_GB2312" w:eastAsia="仿宋_GB2312"/>
                      <w:sz w:val="24"/>
                      <w:color w:val="0000FF"/>
                    </w:rPr>
                    <w:t>打印机</w:t>
                  </w:r>
                </w:p>
              </w:tc>
              <w:tc>
                <w:tcPr>
                  <w:tcW w:type="dxa" w:w="1961"/>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FF"/>
                    </w:rPr>
                    <w:t>热敏打印；纸宽支持</w:t>
                  </w:r>
                  <w:r>
                    <w:rPr>
                      <w:rFonts w:ascii="仿宋_GB2312" w:hAnsi="仿宋_GB2312" w:cs="仿宋_GB2312" w:eastAsia="仿宋_GB2312"/>
                      <w:sz w:val="24"/>
                      <w:color w:val="0000FF"/>
                    </w:rPr>
                    <w:t>79mm-82.5mm；支持一维、二维条形码（PDF417）打印；可打印中文字符（支持GB2312或GB18030）、图像、LOGO；打印速率≥180mm/s；打印头寿命≥120Km；裁纸刀寿命≥100万次；支持状态监测、黑标切纸和非黑标切纸模式；打印纸安装过程为一次导入；纸舱盖关闭状态下，上电及初始化时打印纸自动定位至工作位置；USB接口</w:t>
                  </w:r>
                </w:p>
              </w:tc>
            </w:tr>
            <w:tr>
              <w:tc>
                <w:tcPr>
                  <w:tcW w:type="dxa" w:w="592"/>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ind w:left="120"/>
                    <w:jc w:val="left"/>
                  </w:pPr>
                  <w:r>
                    <w:rPr>
                      <w:rFonts w:ascii="仿宋_GB2312" w:hAnsi="仿宋_GB2312" w:cs="仿宋_GB2312" w:eastAsia="仿宋_GB2312"/>
                      <w:sz w:val="24"/>
                      <w:color w:val="0000FF"/>
                    </w:rPr>
                    <w:t>条码阅读器</w:t>
                  </w:r>
                </w:p>
              </w:tc>
              <w:tc>
                <w:tcPr>
                  <w:tcW w:type="dxa" w:w="1961"/>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FF"/>
                    </w:rPr>
                    <w:t>支持一维、二维条码阅读；精度</w:t>
                  </w:r>
                  <w:r>
                    <w:rPr>
                      <w:rFonts w:ascii="仿宋_GB2312" w:hAnsi="仿宋_GB2312" w:cs="仿宋_GB2312" w:eastAsia="仿宋_GB2312"/>
                      <w:sz w:val="24"/>
                      <w:color w:val="0000FF"/>
                    </w:rPr>
                    <w:t>≥5mil；USB接口</w:t>
                  </w:r>
                </w:p>
              </w:tc>
            </w:tr>
            <w:tr>
              <w:tc>
                <w:tcPr>
                  <w:tcW w:type="dxa" w:w="592"/>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ind w:left="120"/>
                    <w:jc w:val="left"/>
                  </w:pPr>
                  <w:r>
                    <w:rPr>
                      <w:rFonts w:ascii="仿宋_GB2312" w:hAnsi="仿宋_GB2312" w:cs="仿宋_GB2312" w:eastAsia="仿宋_GB2312"/>
                      <w:sz w:val="24"/>
                      <w:color w:val="0000FF"/>
                    </w:rPr>
                    <w:t>显示器</w:t>
                  </w:r>
                </w:p>
              </w:tc>
              <w:tc>
                <w:tcPr>
                  <w:tcW w:type="dxa" w:w="1961"/>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FF"/>
                    </w:rPr>
                    <w:t>尺寸</w:t>
                  </w:r>
                  <w:r>
                    <w:rPr>
                      <w:rFonts w:ascii="仿宋_GB2312" w:hAnsi="仿宋_GB2312" w:cs="仿宋_GB2312" w:eastAsia="仿宋_GB2312"/>
                      <w:sz w:val="24"/>
                      <w:color w:val="0000FF"/>
                    </w:rPr>
                    <w:t>≥15英寸；分辨率≥1024*768像素；显示比例4:3；角度可水平和垂直调节；使用寿命≥50000小时。</w:t>
                  </w:r>
                </w:p>
              </w:tc>
            </w:tr>
            <w:tr>
              <w:tc>
                <w:tcPr>
                  <w:tcW w:type="dxa" w:w="592"/>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ind w:left="120"/>
                    <w:jc w:val="left"/>
                  </w:pPr>
                  <w:r>
                    <w:rPr>
                      <w:rFonts w:ascii="仿宋_GB2312" w:hAnsi="仿宋_GB2312" w:cs="仿宋_GB2312" w:eastAsia="仿宋_GB2312"/>
                      <w:sz w:val="24"/>
                      <w:color w:val="0000FF"/>
                    </w:rPr>
                    <w:t>通讯模块</w:t>
                  </w:r>
                </w:p>
              </w:tc>
              <w:tc>
                <w:tcPr>
                  <w:tcW w:type="dxa" w:w="1961"/>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FF"/>
                    </w:rPr>
                    <w:t>主板集成</w:t>
                  </w:r>
                  <w:r>
                    <w:rPr>
                      <w:rFonts w:ascii="仿宋_GB2312" w:hAnsi="仿宋_GB2312" w:cs="仿宋_GB2312" w:eastAsia="仿宋_GB2312"/>
                      <w:sz w:val="24"/>
                      <w:color w:val="0000FF"/>
                    </w:rPr>
                    <w:t>10/100M自适应以太网卡；RJ45接口数量≥2个；内部通讯部分要有防雷措施。</w:t>
                  </w:r>
                </w:p>
              </w:tc>
            </w:tr>
            <w:tr>
              <w:tc>
                <w:tcPr>
                  <w:tcW w:type="dxa" w:w="592"/>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ind w:left="120"/>
                    <w:jc w:val="left"/>
                  </w:pPr>
                  <w:r>
                    <w:rPr>
                      <w:rFonts w:ascii="仿宋_GB2312" w:hAnsi="仿宋_GB2312" w:cs="仿宋_GB2312" w:eastAsia="仿宋_GB2312"/>
                      <w:sz w:val="24"/>
                      <w:color w:val="0000FF"/>
                    </w:rPr>
                    <w:t>显示模块</w:t>
                  </w:r>
                </w:p>
              </w:tc>
              <w:tc>
                <w:tcPr>
                  <w:tcW w:type="dxa" w:w="1961"/>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FF"/>
                    </w:rPr>
                    <w:t>双通道；支持</w:t>
                  </w:r>
                  <w:r>
                    <w:rPr>
                      <w:rFonts w:ascii="仿宋_GB2312" w:hAnsi="仿宋_GB2312" w:cs="仿宋_GB2312" w:eastAsia="仿宋_GB2312"/>
                      <w:sz w:val="24"/>
                      <w:color w:val="0000FF"/>
                    </w:rPr>
                    <w:t>HDMI输出。</w:t>
                  </w:r>
                </w:p>
              </w:tc>
            </w:tr>
            <w:tr>
              <w:tc>
                <w:tcPr>
                  <w:tcW w:type="dxa" w:w="592"/>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ind w:left="120"/>
                    <w:jc w:val="left"/>
                  </w:pPr>
                  <w:r>
                    <w:rPr>
                      <w:rFonts w:ascii="仿宋_GB2312" w:hAnsi="仿宋_GB2312" w:cs="仿宋_GB2312" w:eastAsia="仿宋_GB2312"/>
                      <w:sz w:val="24"/>
                      <w:color w:val="0000FF"/>
                    </w:rPr>
                    <w:t>USB接口</w:t>
                  </w:r>
                </w:p>
              </w:tc>
              <w:tc>
                <w:tcPr>
                  <w:tcW w:type="dxa" w:w="1961"/>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FF"/>
                    </w:rPr>
                    <w:t>USB2.0或以上；≥4个</w:t>
                  </w:r>
                </w:p>
              </w:tc>
            </w:tr>
            <w:tr>
              <w:tc>
                <w:tcPr>
                  <w:tcW w:type="dxa" w:w="592"/>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ind w:left="120"/>
                    <w:jc w:val="left"/>
                  </w:pPr>
                  <w:r>
                    <w:rPr>
                      <w:rFonts w:ascii="仿宋_GB2312" w:hAnsi="仿宋_GB2312" w:cs="仿宋_GB2312" w:eastAsia="仿宋_GB2312"/>
                      <w:sz w:val="24"/>
                      <w:color w:val="0000FF"/>
                    </w:rPr>
                    <w:t>键盘</w:t>
                  </w:r>
                </w:p>
              </w:tc>
              <w:tc>
                <w:tcPr>
                  <w:tcW w:type="dxa" w:w="1961"/>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FF"/>
                    </w:rPr>
                    <w:t>按键数</w:t>
                  </w:r>
                  <w:r>
                    <w:rPr>
                      <w:rFonts w:ascii="仿宋_GB2312" w:hAnsi="仿宋_GB2312" w:cs="仿宋_GB2312" w:eastAsia="仿宋_GB2312"/>
                      <w:sz w:val="24"/>
                      <w:color w:val="0000FF"/>
                    </w:rPr>
                    <w:t>≥49；可编程；防水防尘；键值寿命≥2000万次；满足体彩三代系统需求。</w:t>
                  </w:r>
                </w:p>
              </w:tc>
            </w:tr>
            <w:tr>
              <w:tc>
                <w:tcPr>
                  <w:tcW w:type="dxa" w:w="592"/>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ind w:left="120"/>
                    <w:jc w:val="left"/>
                  </w:pPr>
                  <w:r>
                    <w:rPr>
                      <w:rFonts w:ascii="仿宋_GB2312" w:hAnsi="仿宋_GB2312" w:cs="仿宋_GB2312" w:eastAsia="仿宋_GB2312"/>
                      <w:sz w:val="24"/>
                      <w:color w:val="0000FF"/>
                    </w:rPr>
                    <w:t>电源</w:t>
                  </w:r>
                </w:p>
              </w:tc>
              <w:tc>
                <w:tcPr>
                  <w:tcW w:type="dxa" w:w="1961"/>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FF"/>
                    </w:rPr>
                    <w:t>具有过压、欠压、防雷等功能；频率：</w:t>
                  </w:r>
                  <w:r>
                    <w:rPr>
                      <w:rFonts w:ascii="仿宋_GB2312" w:hAnsi="仿宋_GB2312" w:cs="仿宋_GB2312" w:eastAsia="仿宋_GB2312"/>
                      <w:sz w:val="24"/>
                      <w:color w:val="0000FF"/>
                    </w:rPr>
                    <w:t>50Hz〜60Hz 电压：110V 〜240V</w:t>
                  </w:r>
                </w:p>
              </w:tc>
            </w:tr>
            <w:tr>
              <w:tc>
                <w:tcPr>
                  <w:tcW w:type="dxa" w:w="592"/>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ind w:left="120"/>
                    <w:jc w:val="left"/>
                  </w:pPr>
                  <w:r>
                    <w:rPr>
                      <w:rFonts w:ascii="仿宋_GB2312" w:hAnsi="仿宋_GB2312" w:cs="仿宋_GB2312" w:eastAsia="仿宋_GB2312"/>
                      <w:sz w:val="24"/>
                      <w:color w:val="0000FF"/>
                    </w:rPr>
                    <w:t>整机</w:t>
                  </w:r>
                  <w:r>
                    <w:rPr>
                      <w:rFonts w:ascii="仿宋_GB2312" w:hAnsi="仿宋_GB2312" w:cs="仿宋_GB2312" w:eastAsia="仿宋_GB2312"/>
                      <w:sz w:val="24"/>
                      <w:color w:val="0000FF"/>
                    </w:rPr>
                    <w:t>MTBF</w:t>
                  </w:r>
                </w:p>
              </w:tc>
              <w:tc>
                <w:tcPr>
                  <w:tcW w:type="dxa" w:w="1961"/>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FF"/>
                    </w:rPr>
                    <w:t>整机</w:t>
                  </w:r>
                  <w:r>
                    <w:rPr>
                      <w:rFonts w:ascii="仿宋_GB2312" w:hAnsi="仿宋_GB2312" w:cs="仿宋_GB2312" w:eastAsia="仿宋_GB2312"/>
                      <w:sz w:val="24"/>
                      <w:color w:val="0000FF"/>
                    </w:rPr>
                    <w:t>MTBF≥50000h。</w:t>
                  </w:r>
                </w:p>
              </w:tc>
            </w:tr>
            <w:tr>
              <w:tc>
                <w:tcPr>
                  <w:tcW w:type="dxa" w:w="592"/>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ind w:left="120"/>
                    <w:jc w:val="left"/>
                  </w:pPr>
                  <w:r>
                    <w:rPr>
                      <w:rFonts w:ascii="仿宋_GB2312" w:hAnsi="仿宋_GB2312" w:cs="仿宋_GB2312" w:eastAsia="仿宋_GB2312"/>
                      <w:sz w:val="24"/>
                      <w:color w:val="0000FF"/>
                    </w:rPr>
                    <w:t>其他</w:t>
                  </w:r>
                </w:p>
              </w:tc>
              <w:tc>
                <w:tcPr>
                  <w:tcW w:type="dxa" w:w="1961"/>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FF"/>
                    </w:rPr>
                    <w:t>外壳采用防火材料，并有开启防护措施。</w:t>
                  </w:r>
                </w:p>
                <w:p>
                  <w:pPr>
                    <w:pStyle w:val="null3"/>
                    <w:jc w:val="left"/>
                  </w:pPr>
                  <w:r>
                    <w:rPr>
                      <w:rFonts w:ascii="仿宋_GB2312" w:hAnsi="仿宋_GB2312" w:cs="仿宋_GB2312" w:eastAsia="仿宋_GB2312"/>
                      <w:sz w:val="24"/>
                      <w:color w:val="0000FF"/>
                    </w:rPr>
                    <w:t>整机符合人体工程学设计，易于销售人员操作使用。</w:t>
                  </w:r>
                </w:p>
                <w:p>
                  <w:pPr>
                    <w:pStyle w:val="null3"/>
                    <w:jc w:val="left"/>
                  </w:pPr>
                  <w:r>
                    <w:rPr>
                      <w:rFonts w:ascii="仿宋_GB2312" w:hAnsi="仿宋_GB2312" w:cs="仿宋_GB2312" w:eastAsia="仿宋_GB2312"/>
                      <w:sz w:val="24"/>
                      <w:color w:val="0000FF"/>
                    </w:rPr>
                    <w:t>整机采取模块化设计，易于业务员维修除尘。</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4"/>
                <w:color w:val="0000FF"/>
              </w:rPr>
              <w:t>其他要求</w:t>
            </w:r>
          </w:p>
          <w:p>
            <w:pPr>
              <w:pStyle w:val="null3"/>
              <w:jc w:val="left"/>
            </w:pPr>
            <w:r>
              <w:rPr>
                <w:rFonts w:ascii="仿宋_GB2312" w:hAnsi="仿宋_GB2312" w:cs="仿宋_GB2312" w:eastAsia="仿宋_GB2312"/>
                <w:sz w:val="24"/>
                <w:color w:val="0000FF"/>
              </w:rPr>
              <w:t>1.除采购方特殊声明外，中标厂商在双方签订合同后的15个自然日内，须将所有产品发送至采购人指定收货地点。如果未能按时提供全部产品，每逾期一天须向采购人缴纳总成交额5‰的违约金，逾期3个自然日采购人有权利解除供应合同。</w:t>
            </w:r>
          </w:p>
          <w:p>
            <w:pPr>
              <w:pStyle w:val="null3"/>
              <w:jc w:val="left"/>
            </w:pPr>
            <w:r>
              <w:rPr>
                <w:rFonts w:ascii="仿宋_GB2312" w:hAnsi="仿宋_GB2312" w:cs="仿宋_GB2312" w:eastAsia="仿宋_GB2312"/>
                <w:sz w:val="24"/>
                <w:color w:val="0000FF"/>
              </w:rPr>
              <w:t>2.投标厂商须在《产品配件价格表》中列明投标产品使用的所有配件的品牌及详细技术参数，且明确是否符合招标文件技术参数要求。</w:t>
            </w:r>
          </w:p>
          <w:p>
            <w:pPr>
              <w:pStyle w:val="null3"/>
              <w:jc w:val="left"/>
            </w:pPr>
            <w:r>
              <w:rPr>
                <w:rFonts w:ascii="仿宋_GB2312" w:hAnsi="仿宋_GB2312" w:cs="仿宋_GB2312" w:eastAsia="仿宋_GB2312"/>
                <w:sz w:val="24"/>
                <w:color w:val="0000FF"/>
              </w:rPr>
              <w:t>3.中标厂商须向采购方提供详尽（中文版）技术资料。其中包含设备序列号、产品合格证、使用说明书、用户手册、完整的技术维护手册及其它资料。</w:t>
            </w:r>
          </w:p>
          <w:p>
            <w:pPr>
              <w:pStyle w:val="null3"/>
              <w:jc w:val="left"/>
            </w:pPr>
            <w:r>
              <w:rPr>
                <w:rFonts w:ascii="仿宋_GB2312" w:hAnsi="仿宋_GB2312" w:cs="仿宋_GB2312" w:eastAsia="仿宋_GB2312"/>
                <w:sz w:val="24"/>
                <w:color w:val="0000FF"/>
              </w:rPr>
              <w:t>4.中标产品整机现场免费保修不低于6年。免保期外或免保条款外，维修只收取所更换部件成本费。对免保期外收费的更换部件，厂商必须明确免费保修期。</w:t>
            </w:r>
          </w:p>
          <w:p>
            <w:pPr>
              <w:pStyle w:val="null3"/>
              <w:jc w:val="left"/>
            </w:pPr>
            <w:r>
              <w:rPr>
                <w:rFonts w:ascii="仿宋_GB2312" w:hAnsi="仿宋_GB2312" w:cs="仿宋_GB2312" w:eastAsia="仿宋_GB2312"/>
                <w:sz w:val="24"/>
                <w:color w:val="0000FF"/>
              </w:rPr>
              <w:t>5.投标厂商必须具备按时、独立完成中标产品的供应、安装、调试、培训及维修维护等能力。</w:t>
            </w:r>
          </w:p>
          <w:p>
            <w:pPr>
              <w:pStyle w:val="null3"/>
              <w:jc w:val="left"/>
            </w:pPr>
            <w:r>
              <w:rPr>
                <w:rFonts w:ascii="仿宋_GB2312" w:hAnsi="仿宋_GB2312" w:cs="仿宋_GB2312" w:eastAsia="仿宋_GB2312"/>
                <w:sz w:val="24"/>
                <w:color w:val="0000FF"/>
              </w:rPr>
              <w:t>6.投标厂商须有稳定的研发队伍和持续研发能力。在产品验收合格交付采购方6年内，能持续提供零配件供应和相关售后服务。</w:t>
            </w:r>
          </w:p>
          <w:p>
            <w:pPr>
              <w:pStyle w:val="null3"/>
              <w:jc w:val="left"/>
            </w:pPr>
            <w:r>
              <w:rPr>
                <w:rFonts w:ascii="仿宋_GB2312" w:hAnsi="仿宋_GB2312" w:cs="仿宋_GB2312" w:eastAsia="仿宋_GB2312"/>
                <w:sz w:val="24"/>
                <w:color w:val="0000FF"/>
              </w:rPr>
              <w:t>7.供应商全部产品到货后，应指定专人配合采购人在5个工作日内完成产品验收。</w:t>
            </w:r>
          </w:p>
          <w:p>
            <w:pPr>
              <w:pStyle w:val="null3"/>
              <w:jc w:val="left"/>
            </w:pPr>
            <w:r>
              <w:rPr>
                <w:rFonts w:ascii="仿宋_GB2312" w:hAnsi="仿宋_GB2312" w:cs="仿宋_GB2312" w:eastAsia="仿宋_GB2312"/>
                <w:sz w:val="24"/>
                <w:color w:val="0000FF"/>
              </w:rPr>
              <w:t>8.采购人有权拒收全部货物并终止合同的情景：（1）所提供的产品功能、性能等参数与投标产品的功能、性能等参数不符；（2）因产品硬件原因导致的抽检不合格率≥3%。</w:t>
            </w:r>
          </w:p>
          <w:p>
            <w:pPr>
              <w:pStyle w:val="null3"/>
              <w:jc w:val="left"/>
            </w:pPr>
            <w:r>
              <w:rPr>
                <w:rFonts w:ascii="仿宋_GB2312" w:hAnsi="仿宋_GB2312" w:cs="仿宋_GB2312" w:eastAsia="仿宋_GB2312"/>
                <w:sz w:val="24"/>
                <w:color w:val="0000FF"/>
              </w:rPr>
              <w:t>9.中标厂商须在陕西设有售后服务站，前期未设立的应在中标后10个工作日内设立。售后服务站的专业技术人员须不少于1人，且必须配备不少于约定数量的足够备件，保证故障产品随到随修。</w:t>
            </w:r>
          </w:p>
          <w:p>
            <w:pPr>
              <w:pStyle w:val="null3"/>
              <w:jc w:val="left"/>
            </w:pPr>
            <w:r>
              <w:rPr>
                <w:rFonts w:ascii="仿宋_GB2312" w:hAnsi="仿宋_GB2312" w:cs="仿宋_GB2312" w:eastAsia="仿宋_GB2312"/>
                <w:sz w:val="24"/>
                <w:color w:val="0000FF"/>
              </w:rPr>
              <w:t>10.中标厂商须建立标准的售后服务体系例如400或800客服热线外，同时向网点提供日常操作和保养手册。</w:t>
            </w:r>
          </w:p>
          <w:p>
            <w:pPr>
              <w:pStyle w:val="null3"/>
              <w:jc w:val="left"/>
            </w:pPr>
            <w:r>
              <w:rPr>
                <w:rFonts w:ascii="仿宋_GB2312" w:hAnsi="仿宋_GB2312" w:cs="仿宋_GB2312" w:eastAsia="仿宋_GB2312"/>
                <w:sz w:val="24"/>
                <w:color w:val="0000FF"/>
              </w:rPr>
              <w:t>11.中标厂商须向我中心提供详细的售后服务体系、方式、内容及服务响应时间等售后服务内容。</w:t>
            </w:r>
          </w:p>
          <w:p>
            <w:pPr>
              <w:pStyle w:val="null3"/>
              <w:jc w:val="left"/>
            </w:pPr>
            <w:r>
              <w:rPr>
                <w:rFonts w:ascii="仿宋_GB2312" w:hAnsi="仿宋_GB2312" w:cs="仿宋_GB2312" w:eastAsia="仿宋_GB2312"/>
                <w:sz w:val="24"/>
                <w:color w:val="0000FF"/>
              </w:rPr>
              <w:t>12.中标厂商须保证7天*24小时提供免费电话技术支持，或根据我省要求时间提供现场服务。</w:t>
            </w:r>
          </w:p>
          <w:p>
            <w:pPr>
              <w:pStyle w:val="null3"/>
              <w:jc w:val="left"/>
            </w:pPr>
            <w:r>
              <w:rPr>
                <w:rFonts w:ascii="仿宋_GB2312" w:hAnsi="仿宋_GB2312" w:cs="仿宋_GB2312" w:eastAsia="仿宋_GB2312"/>
                <w:sz w:val="24"/>
                <w:color w:val="0000FF"/>
              </w:rPr>
              <w:t>13.产品出现故障时，供应商应在接到通知后1个小时内给予答复，并指定专人对我省的维护工作提供技术支持。</w:t>
            </w:r>
          </w:p>
          <w:p>
            <w:pPr>
              <w:pStyle w:val="null3"/>
              <w:jc w:val="left"/>
            </w:pPr>
            <w:r>
              <w:rPr>
                <w:rFonts w:ascii="仿宋_GB2312" w:hAnsi="仿宋_GB2312" w:cs="仿宋_GB2312" w:eastAsia="仿宋_GB2312"/>
                <w:sz w:val="24"/>
                <w:color w:val="0000FF"/>
              </w:rPr>
              <w:t>14.厂商投标时须提供投标产品所有构成部件的保外维修报价单，各部件合计总价不得高于投标产品整机价格120%。投标时所有配件价格必须清单列示，未列入清单的配件后续服务中视为免费。</w:t>
            </w:r>
          </w:p>
          <w:p>
            <w:pPr>
              <w:pStyle w:val="null3"/>
              <w:jc w:val="left"/>
            </w:pPr>
            <w:r>
              <w:rPr>
                <w:rFonts w:ascii="仿宋_GB2312" w:hAnsi="仿宋_GB2312" w:cs="仿宋_GB2312" w:eastAsia="仿宋_GB2312"/>
                <w:sz w:val="24"/>
                <w:color w:val="0000FF"/>
              </w:rPr>
              <w:t>15.保修期内，如果个别部件非人为月均故障率高于3%，则认定为部件质量问题，供应商承担相关全部责任，并尽快解决该部件质量问题。首先应提供不低于该部件故障率的整机用于周转，其次免费提供解决问题需要的所有部件，并负责到产品现场解决故障。因部件质量问题解决所产生的一切费用和采购方损失由供应商承担。</w:t>
            </w:r>
          </w:p>
          <w:p>
            <w:pPr>
              <w:pStyle w:val="null3"/>
              <w:jc w:val="left"/>
            </w:pPr>
            <w:r>
              <w:rPr>
                <w:rFonts w:ascii="仿宋_GB2312" w:hAnsi="仿宋_GB2312" w:cs="仿宋_GB2312" w:eastAsia="仿宋_GB2312"/>
                <w:sz w:val="24"/>
                <w:color w:val="0000FF"/>
              </w:rPr>
              <w:t>16.中标产品投入运行期间，供应商不得以任何理由（包括维保合同超期、配件费用未结等原因）拖延故障件的合理返修周期、不得以任何理由造成备机备件短缺、不得以任何理由在保修期内不提供服务。因供应商原因造成产品未及时维修的，由此产生的一切损失（包括网点的经济损失）由供应商承担。</w:t>
            </w:r>
          </w:p>
          <w:p>
            <w:pPr>
              <w:pStyle w:val="null3"/>
              <w:jc w:val="left"/>
            </w:pPr>
            <w:r>
              <w:rPr>
                <w:rFonts w:ascii="仿宋_GB2312" w:hAnsi="仿宋_GB2312" w:cs="仿宋_GB2312" w:eastAsia="仿宋_GB2312"/>
                <w:sz w:val="24"/>
                <w:color w:val="0000FF"/>
              </w:rPr>
              <w:t>17.中标产品投入运行期间，厂商驻陕售后服务站在收到体彩管理站返修的故障件后，必须在5个工作日之内返还到管理站，不得以任何理由拖延。</w:t>
            </w:r>
          </w:p>
          <w:p>
            <w:pPr>
              <w:pStyle w:val="null3"/>
              <w:jc w:val="left"/>
            </w:pPr>
            <w:r>
              <w:rPr>
                <w:rFonts w:ascii="仿宋_GB2312" w:hAnsi="仿宋_GB2312" w:cs="仿宋_GB2312" w:eastAsia="仿宋_GB2312"/>
                <w:sz w:val="24"/>
                <w:color w:val="0000FF"/>
              </w:rPr>
              <w:t>18.如果产品在运行中出现大面积故障，供应商应在接到报告后24小时内带足备机和备件到达现场进行故障排除，并在72小时内全面解决故障。未按规定时间排除故障的，供应商须赔偿一切经济损失（包括省中心及销售网点）。</w:t>
            </w:r>
          </w:p>
          <w:p>
            <w:pPr>
              <w:pStyle w:val="null3"/>
              <w:jc w:val="left"/>
            </w:pPr>
            <w:r>
              <w:rPr>
                <w:rFonts w:ascii="仿宋_GB2312" w:hAnsi="仿宋_GB2312" w:cs="仿宋_GB2312" w:eastAsia="仿宋_GB2312"/>
                <w:sz w:val="24"/>
                <w:color w:val="0000FF"/>
              </w:rPr>
              <w:t>19.供应商应确保产品在使用过程中的维修服务。如遇配件价格调整，须得到采购方书面认可后实施，否则将执行原维修价格。</w:t>
            </w:r>
          </w:p>
          <w:p>
            <w:pPr>
              <w:pStyle w:val="null3"/>
              <w:jc w:val="both"/>
            </w:pPr>
            <w:r>
              <w:rPr>
                <w:rFonts w:ascii="仿宋_GB2312" w:hAnsi="仿宋_GB2312" w:cs="仿宋_GB2312" w:eastAsia="仿宋_GB2312"/>
                <w:sz w:val="24"/>
                <w:color w:val="0000FF"/>
              </w:rPr>
              <w:t>20.在产品服务期内，供应商须对采购人每年至少2次的省内业务员培训或巡检服务提供免费技术支持。</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1"/>
              </w:rPr>
              <w:t>样机</w:t>
            </w:r>
            <w:r>
              <w:br/>
            </w:r>
            <w:r>
              <w:rPr>
                <w:rFonts w:ascii="仿宋_GB2312" w:hAnsi="仿宋_GB2312" w:cs="仿宋_GB2312" w:eastAsia="仿宋_GB2312"/>
                <w:sz w:val="21"/>
              </w:rPr>
              <w:t xml:space="preserve"> 1.本项目要求提供样机并对样机进行评审（明标），未提供样机的不得分，但不作为无效投标对待。所供样机应与所投产品一致，否则视为未提供。</w:t>
            </w:r>
            <w:r>
              <w:br/>
            </w:r>
            <w:r>
              <w:rPr>
                <w:rFonts w:ascii="仿宋_GB2312" w:hAnsi="仿宋_GB2312" w:cs="仿宋_GB2312" w:eastAsia="仿宋_GB2312"/>
                <w:sz w:val="21"/>
              </w:rPr>
              <w:t xml:space="preserve"> 2.样机内容：体育彩票传统终端机1台（含原厂包装），自带热敏纸（能连打票30张以上）。</w:t>
            </w:r>
            <w:r>
              <w:br/>
            </w:r>
            <w:r>
              <w:rPr>
                <w:rFonts w:ascii="仿宋_GB2312" w:hAnsi="仿宋_GB2312" w:cs="仿宋_GB2312" w:eastAsia="仿宋_GB2312"/>
                <w:sz w:val="21"/>
              </w:rPr>
              <w:t xml:space="preserve"> 3.样机递交</w:t>
            </w:r>
            <w:r>
              <w:br/>
            </w:r>
            <w:r>
              <w:rPr>
                <w:rFonts w:ascii="仿宋_GB2312" w:hAnsi="仿宋_GB2312" w:cs="仿宋_GB2312" w:eastAsia="仿宋_GB2312"/>
                <w:sz w:val="21"/>
              </w:rPr>
              <w:t xml:space="preserve"> ①时间：同投标截止时间，逾期不予受理。</w:t>
            </w:r>
            <w:r>
              <w:br/>
            </w:r>
            <w:r>
              <w:rPr>
                <w:rFonts w:ascii="仿宋_GB2312" w:hAnsi="仿宋_GB2312" w:cs="仿宋_GB2312" w:eastAsia="仿宋_GB2312"/>
                <w:sz w:val="21"/>
              </w:rPr>
              <w:t xml:space="preserve"> ②地点：西安市科技路30号合力紫郡A座2203室。</w:t>
            </w:r>
            <w:r>
              <w:br/>
            </w:r>
            <w:r>
              <w:rPr>
                <w:rFonts w:ascii="仿宋_GB2312" w:hAnsi="仿宋_GB2312" w:cs="仿宋_GB2312" w:eastAsia="仿宋_GB2312"/>
                <w:sz w:val="21"/>
              </w:rPr>
              <w:t xml:space="preserve"> ③投标人递交样机时需要提供样机清单，清单加盖公章。递交时由代理机构核对。</w:t>
            </w:r>
            <w:r>
              <w:br/>
            </w:r>
            <w:r>
              <w:rPr>
                <w:rFonts w:ascii="仿宋_GB2312" w:hAnsi="仿宋_GB2312" w:cs="仿宋_GB2312" w:eastAsia="仿宋_GB2312"/>
                <w:sz w:val="21"/>
              </w:rPr>
              <w:t xml:space="preserve"> 4.样机退还：</w:t>
            </w:r>
            <w:r>
              <w:br/>
            </w:r>
            <w:r>
              <w:rPr>
                <w:rFonts w:ascii="仿宋_GB2312" w:hAnsi="仿宋_GB2312" w:cs="仿宋_GB2312" w:eastAsia="仿宋_GB2312"/>
                <w:sz w:val="21"/>
              </w:rPr>
              <w:t xml:space="preserve"> ①未中标投标人样机在中标公告发出后两个工作日内自行领取，如未在规定时间内领取样机则由采购代理机构或采购人代为处理，后期不得有任何异议。</w:t>
            </w:r>
            <w:r>
              <w:br/>
            </w:r>
            <w:r>
              <w:rPr>
                <w:rFonts w:ascii="仿宋_GB2312" w:hAnsi="仿宋_GB2312" w:cs="仿宋_GB2312" w:eastAsia="仿宋_GB2312"/>
                <w:sz w:val="21"/>
              </w:rPr>
              <w:t xml:space="preserve"> ②中标人样机由采购人封存，在项目验收合格后由采购人退还。</w:t>
            </w:r>
            <w:r>
              <w:br/>
            </w:r>
            <w:r>
              <w:rPr>
                <w:rFonts w:ascii="仿宋_GB2312" w:hAnsi="仿宋_GB2312" w:cs="仿宋_GB2312" w:eastAsia="仿宋_GB2312"/>
                <w:sz w:val="21"/>
              </w:rPr>
              <w:t xml:space="preserve"> 5.各投标人自行承担样机搬运过程中发生的费用和损失。</w:t>
            </w:r>
            <w:r>
              <w:br/>
            </w: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标的名称：体育彩票传统终端机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FF"/>
              </w:rPr>
              <w:t>投标厂商必须是国家体彩中心体彩字</w:t>
            </w:r>
            <w:r>
              <w:rPr>
                <w:rFonts w:ascii="仿宋_GB2312" w:hAnsi="仿宋_GB2312" w:cs="仿宋_GB2312" w:eastAsia="仿宋_GB2312"/>
                <w:sz w:val="24"/>
                <w:color w:val="0000FF"/>
              </w:rPr>
              <w:t>[2023]317号《国家体育总局体育彩票管理中心关于更新体育彩票电脑彩票传统终端机通过测试目录的通知》文件所列标准型传统终端机序列可选用机型的入围厂商。</w:t>
            </w:r>
            <w:r>
              <w:rPr>
                <w:rFonts w:ascii="仿宋_GB2312" w:hAnsi="仿宋_GB2312" w:cs="仿宋_GB2312" w:eastAsia="仿宋_GB2312"/>
                <w:sz w:val="24"/>
                <w:b/>
                <w:color w:val="0000FF"/>
              </w:rPr>
              <w:t>须提供证明资料，未提供或不能证明的为无效投标。</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FF"/>
              </w:rPr>
              <w:t>投标产品及型号必须在国家体彩中心体彩字</w:t>
            </w:r>
            <w:r>
              <w:rPr>
                <w:rFonts w:ascii="仿宋_GB2312" w:hAnsi="仿宋_GB2312" w:cs="仿宋_GB2312" w:eastAsia="仿宋_GB2312"/>
                <w:sz w:val="24"/>
                <w:color w:val="0000FF"/>
              </w:rPr>
              <w:t>[2023]317号《国家体育总局体育彩票管理中心关于更新体育彩票电脑彩票传统终端机通过测试目录的通知》文件所列出的标准型传统终端机序列内。</w:t>
            </w:r>
            <w:r>
              <w:rPr>
                <w:rFonts w:ascii="仿宋_GB2312" w:hAnsi="仿宋_GB2312" w:cs="仿宋_GB2312" w:eastAsia="仿宋_GB2312"/>
                <w:sz w:val="24"/>
                <w:b/>
                <w:color w:val="0000FF"/>
              </w:rPr>
              <w:t>须提供证明资料，未提供或不能证明的为无效投标。</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FF"/>
              </w:rPr>
              <w:t>投标产品必须保证与陕西省体育彩票销售系统相匹配，和现有在用终端机主要配件通用性高，国家体彩中心提供的彩票销售软件安装后能够实现彩票销售、兑奖等全部功能，且各项性能指标符合国家体彩中心二代系统及高频信息显示系统终端标准规范。</w:t>
            </w:r>
            <w:r>
              <w:rPr>
                <w:rFonts w:ascii="仿宋_GB2312" w:hAnsi="仿宋_GB2312" w:cs="仿宋_GB2312" w:eastAsia="仿宋_GB2312"/>
                <w:sz w:val="24"/>
                <w:b/>
                <w:color w:val="0000FF"/>
              </w:rPr>
              <w:t>需提供书面承诺书，未提供的为无效投标。</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4"/>
                <w:color w:val="0000FF"/>
              </w:rPr>
              <w:t>主要技术参数</w:t>
            </w:r>
          </w:p>
          <w:tbl>
            <w:tblPr>
              <w:tblInd w:type="dxa" w:w="120"/>
              <w:tblBorders>
                <w:top w:val="none" w:color="000000" w:sz="4"/>
                <w:left w:val="none" w:color="000000" w:sz="4"/>
                <w:bottom w:val="none" w:color="000000" w:sz="4"/>
                <w:right w:val="none" w:color="000000" w:sz="4"/>
                <w:insideH w:val="none"/>
                <w:insideV w:val="none"/>
              </w:tblBorders>
            </w:tblPr>
            <w:tblGrid>
              <w:gridCol w:w="592"/>
              <w:gridCol w:w="1961"/>
            </w:tblGrid>
            <w:tr>
              <w:tc>
                <w:tcPr>
                  <w:tcW w:type="dxa" w:w="592"/>
                  <w:tcBorders>
                    <w:top w:val="outset" w:color="000000" w:sz="4"/>
                    <w:left w:val="outset" w:color="000000" w:sz="4"/>
                    <w:bottom w:val="outset" w:color="000000" w:sz="4"/>
                    <w:right w:val="outset" w:color="000000" w:sz="4"/>
                  </w:tcBorders>
                  <w:tcMar>
                    <w:top w:type="dxa" w:w="0"/>
                    <w:left w:type="dxa" w:w="0"/>
                    <w:bottom w:type="dxa" w:w="0"/>
                    <w:right w:type="dxa" w:w="0"/>
                  </w:tcMar>
                  <w:vAlign w:val="top"/>
                </w:tcPr>
                <w:p>
                  <w:pPr>
                    <w:pStyle w:val="null3"/>
                    <w:ind w:left="120"/>
                    <w:jc w:val="left"/>
                  </w:pPr>
                  <w:r>
                    <w:rPr>
                      <w:rFonts w:ascii="仿宋_GB2312" w:hAnsi="仿宋_GB2312" w:cs="仿宋_GB2312" w:eastAsia="仿宋_GB2312"/>
                      <w:sz w:val="24"/>
                      <w:color w:val="0000FF"/>
                    </w:rPr>
                    <w:t>主板</w:t>
                  </w:r>
                </w:p>
              </w:tc>
              <w:tc>
                <w:tcPr>
                  <w:tcW w:type="dxa" w:w="1961"/>
                  <w:tcBorders>
                    <w:top w:val="outset"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FF"/>
                    </w:rPr>
                    <w:t>工业控制级主板；前端总线</w:t>
                  </w:r>
                  <w:r>
                    <w:rPr>
                      <w:rFonts w:ascii="仿宋_GB2312" w:hAnsi="仿宋_GB2312" w:cs="仿宋_GB2312" w:eastAsia="仿宋_GB2312"/>
                      <w:sz w:val="24"/>
                      <w:color w:val="0000FF"/>
                    </w:rPr>
                    <w:t>≥1300MHz；电容耐温值≥105℃；集成声卡；集成网卡</w:t>
                  </w:r>
                </w:p>
              </w:tc>
            </w:tr>
            <w:tr>
              <w:tc>
                <w:tcPr>
                  <w:tcW w:type="dxa" w:w="592"/>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ind w:left="120"/>
                    <w:jc w:val="left"/>
                  </w:pPr>
                  <w:r>
                    <w:rPr>
                      <w:rFonts w:ascii="仿宋_GB2312" w:hAnsi="仿宋_GB2312" w:cs="仿宋_GB2312" w:eastAsia="仿宋_GB2312"/>
                      <w:sz w:val="24"/>
                      <w:color w:val="0000FF"/>
                    </w:rPr>
                    <w:t>CPU</w:t>
                  </w:r>
                </w:p>
              </w:tc>
              <w:tc>
                <w:tcPr>
                  <w:tcW w:type="dxa" w:w="1961"/>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FF"/>
                    </w:rPr>
                    <w:t>核心数</w:t>
                  </w:r>
                  <w:r>
                    <w:rPr>
                      <w:rFonts w:ascii="仿宋_GB2312" w:hAnsi="仿宋_GB2312" w:cs="仿宋_GB2312" w:eastAsia="仿宋_GB2312"/>
                      <w:sz w:val="24"/>
                      <w:color w:val="0000FF"/>
                    </w:rPr>
                    <w:t>≥2核；主频≥3.6GHz</w:t>
                  </w:r>
                </w:p>
              </w:tc>
            </w:tr>
            <w:tr>
              <w:tc>
                <w:tcPr>
                  <w:tcW w:type="dxa" w:w="592"/>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ind w:left="120"/>
                    <w:jc w:val="left"/>
                  </w:pPr>
                  <w:r>
                    <w:rPr>
                      <w:rFonts w:ascii="仿宋_GB2312" w:hAnsi="仿宋_GB2312" w:cs="仿宋_GB2312" w:eastAsia="仿宋_GB2312"/>
                      <w:sz w:val="24"/>
                      <w:color w:val="0000FF"/>
                    </w:rPr>
                    <w:t>内存</w:t>
                  </w:r>
                </w:p>
              </w:tc>
              <w:tc>
                <w:tcPr>
                  <w:tcW w:type="dxa" w:w="1961"/>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FF"/>
                    </w:rPr>
                    <w:t>容量</w:t>
                  </w:r>
                  <w:r>
                    <w:rPr>
                      <w:rFonts w:ascii="仿宋_GB2312" w:hAnsi="仿宋_GB2312" w:cs="仿宋_GB2312" w:eastAsia="仿宋_GB2312"/>
                      <w:sz w:val="24"/>
                      <w:color w:val="0000FF"/>
                    </w:rPr>
                    <w:t>≥8G；类型：DDR4</w:t>
                  </w:r>
                </w:p>
              </w:tc>
            </w:tr>
            <w:tr>
              <w:tc>
                <w:tcPr>
                  <w:tcW w:type="dxa" w:w="592"/>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ind w:left="120"/>
                    <w:jc w:val="left"/>
                  </w:pPr>
                  <w:r>
                    <w:rPr>
                      <w:rFonts w:ascii="仿宋_GB2312" w:hAnsi="仿宋_GB2312" w:cs="仿宋_GB2312" w:eastAsia="仿宋_GB2312"/>
                      <w:sz w:val="24"/>
                      <w:color w:val="0000FF"/>
                    </w:rPr>
                    <w:t>存储</w:t>
                  </w:r>
                </w:p>
              </w:tc>
              <w:tc>
                <w:tcPr>
                  <w:tcW w:type="dxa" w:w="1961"/>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FF"/>
                    </w:rPr>
                    <w:t>容量</w:t>
                  </w:r>
                  <w:r>
                    <w:rPr>
                      <w:rFonts w:ascii="仿宋_GB2312" w:hAnsi="仿宋_GB2312" w:cs="仿宋_GB2312" w:eastAsia="仿宋_GB2312"/>
                      <w:sz w:val="24"/>
                      <w:color w:val="0000FF"/>
                    </w:rPr>
                    <w:t>≥128G；接口类型：SSD/DOM</w:t>
                  </w:r>
                </w:p>
              </w:tc>
            </w:tr>
            <w:tr>
              <w:tc>
                <w:tcPr>
                  <w:tcW w:type="dxa" w:w="592"/>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ind w:left="120"/>
                    <w:jc w:val="left"/>
                  </w:pPr>
                  <w:r>
                    <w:rPr>
                      <w:rFonts w:ascii="仿宋_GB2312" w:hAnsi="仿宋_GB2312" w:cs="仿宋_GB2312" w:eastAsia="仿宋_GB2312"/>
                      <w:sz w:val="24"/>
                      <w:color w:val="0000FF"/>
                    </w:rPr>
                    <w:t>读票机</w:t>
                  </w:r>
                </w:p>
              </w:tc>
              <w:tc>
                <w:tcPr>
                  <w:tcW w:type="dxa" w:w="1961"/>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FF"/>
                    </w:rPr>
                    <w:t>扫描宽度</w:t>
                  </w:r>
                  <w:r>
                    <w:rPr>
                      <w:rFonts w:ascii="仿宋_GB2312" w:hAnsi="仿宋_GB2312" w:cs="仿宋_GB2312" w:eastAsia="仿宋_GB2312"/>
                      <w:sz w:val="24"/>
                      <w:color w:val="0000FF"/>
                    </w:rPr>
                    <w:t>&gt;200毫米（A4幅面）；支持OCR或CIS高速扫描；有标记打印功能，标记内容可编辑，支持西文、中文、图像打印；能够识别一维、二维条码；误码率&lt;0.1%；卡纸率&lt;0.1%；USB接口</w:t>
                  </w:r>
                </w:p>
              </w:tc>
            </w:tr>
            <w:tr>
              <w:tc>
                <w:tcPr>
                  <w:tcW w:type="dxa" w:w="592"/>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ind w:left="120"/>
                    <w:jc w:val="left"/>
                  </w:pPr>
                  <w:r>
                    <w:rPr>
                      <w:rFonts w:ascii="仿宋_GB2312" w:hAnsi="仿宋_GB2312" w:cs="仿宋_GB2312" w:eastAsia="仿宋_GB2312"/>
                      <w:sz w:val="24"/>
                      <w:color w:val="0000FF"/>
                    </w:rPr>
                    <w:t>打印机</w:t>
                  </w:r>
                </w:p>
              </w:tc>
              <w:tc>
                <w:tcPr>
                  <w:tcW w:type="dxa" w:w="1961"/>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FF"/>
                    </w:rPr>
                    <w:t>热敏打印；纸宽支持</w:t>
                  </w:r>
                  <w:r>
                    <w:rPr>
                      <w:rFonts w:ascii="仿宋_GB2312" w:hAnsi="仿宋_GB2312" w:cs="仿宋_GB2312" w:eastAsia="仿宋_GB2312"/>
                      <w:sz w:val="24"/>
                      <w:color w:val="0000FF"/>
                    </w:rPr>
                    <w:t>79mm-82.5mm；支持一维、二维条形码（PDF417）打印；可打印中文字符（支持GB2312或GB18030）、图像、LOGO；打印速率≥180mm/s；打印头寿命≥120Km；裁纸刀寿命≥100万次；支持状态监测、黑标切纸和非黑标切纸模式；打印纸安装过程为一次导入；纸舱盖关闭状态下，上电及初始化时打印纸自动定位至工作位置；USB接口</w:t>
                  </w:r>
                </w:p>
              </w:tc>
            </w:tr>
            <w:tr>
              <w:tc>
                <w:tcPr>
                  <w:tcW w:type="dxa" w:w="592"/>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ind w:left="120"/>
                    <w:jc w:val="left"/>
                  </w:pPr>
                  <w:r>
                    <w:rPr>
                      <w:rFonts w:ascii="仿宋_GB2312" w:hAnsi="仿宋_GB2312" w:cs="仿宋_GB2312" w:eastAsia="仿宋_GB2312"/>
                      <w:sz w:val="24"/>
                      <w:color w:val="0000FF"/>
                    </w:rPr>
                    <w:t>条码阅读器</w:t>
                  </w:r>
                </w:p>
              </w:tc>
              <w:tc>
                <w:tcPr>
                  <w:tcW w:type="dxa" w:w="1961"/>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FF"/>
                    </w:rPr>
                    <w:t>支持一维、二维条码阅读；精度</w:t>
                  </w:r>
                  <w:r>
                    <w:rPr>
                      <w:rFonts w:ascii="仿宋_GB2312" w:hAnsi="仿宋_GB2312" w:cs="仿宋_GB2312" w:eastAsia="仿宋_GB2312"/>
                      <w:sz w:val="24"/>
                      <w:color w:val="0000FF"/>
                    </w:rPr>
                    <w:t>≥5mil；USB接口</w:t>
                  </w:r>
                </w:p>
              </w:tc>
            </w:tr>
            <w:tr>
              <w:tc>
                <w:tcPr>
                  <w:tcW w:type="dxa" w:w="592"/>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ind w:left="120"/>
                    <w:jc w:val="left"/>
                  </w:pPr>
                  <w:r>
                    <w:rPr>
                      <w:rFonts w:ascii="仿宋_GB2312" w:hAnsi="仿宋_GB2312" w:cs="仿宋_GB2312" w:eastAsia="仿宋_GB2312"/>
                      <w:sz w:val="24"/>
                      <w:color w:val="0000FF"/>
                    </w:rPr>
                    <w:t>显示器</w:t>
                  </w:r>
                </w:p>
              </w:tc>
              <w:tc>
                <w:tcPr>
                  <w:tcW w:type="dxa" w:w="1961"/>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FF"/>
                    </w:rPr>
                    <w:t>尺寸</w:t>
                  </w:r>
                  <w:r>
                    <w:rPr>
                      <w:rFonts w:ascii="仿宋_GB2312" w:hAnsi="仿宋_GB2312" w:cs="仿宋_GB2312" w:eastAsia="仿宋_GB2312"/>
                      <w:sz w:val="24"/>
                      <w:color w:val="0000FF"/>
                    </w:rPr>
                    <w:t>≥15英寸；分辨率≥1024*768像素；显示比例4:3；角度可水平和垂直调节；使用寿命≥50000小时。</w:t>
                  </w:r>
                </w:p>
              </w:tc>
            </w:tr>
            <w:tr>
              <w:tc>
                <w:tcPr>
                  <w:tcW w:type="dxa" w:w="592"/>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ind w:left="120"/>
                    <w:jc w:val="left"/>
                  </w:pPr>
                  <w:r>
                    <w:rPr>
                      <w:rFonts w:ascii="仿宋_GB2312" w:hAnsi="仿宋_GB2312" w:cs="仿宋_GB2312" w:eastAsia="仿宋_GB2312"/>
                      <w:sz w:val="24"/>
                      <w:color w:val="0000FF"/>
                    </w:rPr>
                    <w:t>通讯模块</w:t>
                  </w:r>
                </w:p>
              </w:tc>
              <w:tc>
                <w:tcPr>
                  <w:tcW w:type="dxa" w:w="1961"/>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FF"/>
                    </w:rPr>
                    <w:t>主板集成</w:t>
                  </w:r>
                  <w:r>
                    <w:rPr>
                      <w:rFonts w:ascii="仿宋_GB2312" w:hAnsi="仿宋_GB2312" w:cs="仿宋_GB2312" w:eastAsia="仿宋_GB2312"/>
                      <w:sz w:val="24"/>
                      <w:color w:val="0000FF"/>
                    </w:rPr>
                    <w:t>10/100M自适应以太网卡；RJ45接口数量≥2个；内部通讯部分要有防雷措施。</w:t>
                  </w:r>
                </w:p>
              </w:tc>
            </w:tr>
            <w:tr>
              <w:tc>
                <w:tcPr>
                  <w:tcW w:type="dxa" w:w="592"/>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ind w:left="120"/>
                    <w:jc w:val="left"/>
                  </w:pPr>
                  <w:r>
                    <w:rPr>
                      <w:rFonts w:ascii="仿宋_GB2312" w:hAnsi="仿宋_GB2312" w:cs="仿宋_GB2312" w:eastAsia="仿宋_GB2312"/>
                      <w:sz w:val="24"/>
                      <w:color w:val="0000FF"/>
                    </w:rPr>
                    <w:t>显示模块</w:t>
                  </w:r>
                </w:p>
              </w:tc>
              <w:tc>
                <w:tcPr>
                  <w:tcW w:type="dxa" w:w="1961"/>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FF"/>
                    </w:rPr>
                    <w:t>双通道；支持</w:t>
                  </w:r>
                  <w:r>
                    <w:rPr>
                      <w:rFonts w:ascii="仿宋_GB2312" w:hAnsi="仿宋_GB2312" w:cs="仿宋_GB2312" w:eastAsia="仿宋_GB2312"/>
                      <w:sz w:val="24"/>
                      <w:color w:val="0000FF"/>
                    </w:rPr>
                    <w:t>HDMI输出。</w:t>
                  </w:r>
                </w:p>
              </w:tc>
            </w:tr>
            <w:tr>
              <w:tc>
                <w:tcPr>
                  <w:tcW w:type="dxa" w:w="592"/>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ind w:left="120"/>
                    <w:jc w:val="left"/>
                  </w:pPr>
                  <w:r>
                    <w:rPr>
                      <w:rFonts w:ascii="仿宋_GB2312" w:hAnsi="仿宋_GB2312" w:cs="仿宋_GB2312" w:eastAsia="仿宋_GB2312"/>
                      <w:sz w:val="24"/>
                      <w:color w:val="0000FF"/>
                    </w:rPr>
                    <w:t>USB接口</w:t>
                  </w:r>
                </w:p>
              </w:tc>
              <w:tc>
                <w:tcPr>
                  <w:tcW w:type="dxa" w:w="1961"/>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FF"/>
                    </w:rPr>
                    <w:t>USB2.0或以上；≥4个</w:t>
                  </w:r>
                </w:p>
              </w:tc>
            </w:tr>
            <w:tr>
              <w:tc>
                <w:tcPr>
                  <w:tcW w:type="dxa" w:w="592"/>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ind w:left="120"/>
                    <w:jc w:val="left"/>
                  </w:pPr>
                  <w:r>
                    <w:rPr>
                      <w:rFonts w:ascii="仿宋_GB2312" w:hAnsi="仿宋_GB2312" w:cs="仿宋_GB2312" w:eastAsia="仿宋_GB2312"/>
                      <w:sz w:val="24"/>
                      <w:color w:val="0000FF"/>
                    </w:rPr>
                    <w:t>键盘</w:t>
                  </w:r>
                </w:p>
              </w:tc>
              <w:tc>
                <w:tcPr>
                  <w:tcW w:type="dxa" w:w="1961"/>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FF"/>
                    </w:rPr>
                    <w:t>按键数</w:t>
                  </w:r>
                  <w:r>
                    <w:rPr>
                      <w:rFonts w:ascii="仿宋_GB2312" w:hAnsi="仿宋_GB2312" w:cs="仿宋_GB2312" w:eastAsia="仿宋_GB2312"/>
                      <w:sz w:val="24"/>
                      <w:color w:val="0000FF"/>
                    </w:rPr>
                    <w:t>≥49；可编程；防水防尘；键值寿命≥2000万次；满足体彩三代系统需求。</w:t>
                  </w:r>
                </w:p>
              </w:tc>
            </w:tr>
            <w:tr>
              <w:tc>
                <w:tcPr>
                  <w:tcW w:type="dxa" w:w="592"/>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ind w:left="120"/>
                    <w:jc w:val="left"/>
                  </w:pPr>
                  <w:r>
                    <w:rPr>
                      <w:rFonts w:ascii="仿宋_GB2312" w:hAnsi="仿宋_GB2312" w:cs="仿宋_GB2312" w:eastAsia="仿宋_GB2312"/>
                      <w:sz w:val="24"/>
                      <w:color w:val="0000FF"/>
                    </w:rPr>
                    <w:t>电源</w:t>
                  </w:r>
                </w:p>
              </w:tc>
              <w:tc>
                <w:tcPr>
                  <w:tcW w:type="dxa" w:w="1961"/>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FF"/>
                    </w:rPr>
                    <w:t>具有过压、欠压、防雷等功能；频率：</w:t>
                  </w:r>
                  <w:r>
                    <w:rPr>
                      <w:rFonts w:ascii="仿宋_GB2312" w:hAnsi="仿宋_GB2312" w:cs="仿宋_GB2312" w:eastAsia="仿宋_GB2312"/>
                      <w:sz w:val="24"/>
                      <w:color w:val="0000FF"/>
                    </w:rPr>
                    <w:t>50Hz〜60Hz 电压：110V 〜240V</w:t>
                  </w:r>
                </w:p>
              </w:tc>
            </w:tr>
            <w:tr>
              <w:tc>
                <w:tcPr>
                  <w:tcW w:type="dxa" w:w="592"/>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ind w:left="120"/>
                    <w:jc w:val="left"/>
                  </w:pPr>
                  <w:r>
                    <w:rPr>
                      <w:rFonts w:ascii="仿宋_GB2312" w:hAnsi="仿宋_GB2312" w:cs="仿宋_GB2312" w:eastAsia="仿宋_GB2312"/>
                      <w:sz w:val="24"/>
                      <w:color w:val="0000FF"/>
                    </w:rPr>
                    <w:t>整机</w:t>
                  </w:r>
                  <w:r>
                    <w:rPr>
                      <w:rFonts w:ascii="仿宋_GB2312" w:hAnsi="仿宋_GB2312" w:cs="仿宋_GB2312" w:eastAsia="仿宋_GB2312"/>
                      <w:sz w:val="24"/>
                      <w:color w:val="0000FF"/>
                    </w:rPr>
                    <w:t>MTBF</w:t>
                  </w:r>
                </w:p>
              </w:tc>
              <w:tc>
                <w:tcPr>
                  <w:tcW w:type="dxa" w:w="1961"/>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FF"/>
                    </w:rPr>
                    <w:t>整机</w:t>
                  </w:r>
                  <w:r>
                    <w:rPr>
                      <w:rFonts w:ascii="仿宋_GB2312" w:hAnsi="仿宋_GB2312" w:cs="仿宋_GB2312" w:eastAsia="仿宋_GB2312"/>
                      <w:sz w:val="24"/>
                      <w:color w:val="0000FF"/>
                    </w:rPr>
                    <w:t>MTBF≥50000h。</w:t>
                  </w:r>
                </w:p>
              </w:tc>
            </w:tr>
            <w:tr>
              <w:tc>
                <w:tcPr>
                  <w:tcW w:type="dxa" w:w="592"/>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ind w:left="120"/>
                    <w:jc w:val="left"/>
                  </w:pPr>
                  <w:r>
                    <w:rPr>
                      <w:rFonts w:ascii="仿宋_GB2312" w:hAnsi="仿宋_GB2312" w:cs="仿宋_GB2312" w:eastAsia="仿宋_GB2312"/>
                      <w:sz w:val="24"/>
                      <w:color w:val="0000FF"/>
                    </w:rPr>
                    <w:t>其他</w:t>
                  </w:r>
                </w:p>
              </w:tc>
              <w:tc>
                <w:tcPr>
                  <w:tcW w:type="dxa" w:w="1961"/>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FF"/>
                    </w:rPr>
                    <w:t>外壳采用防火材料，并有开启防护措施。</w:t>
                  </w:r>
                </w:p>
                <w:p>
                  <w:pPr>
                    <w:pStyle w:val="null3"/>
                    <w:jc w:val="left"/>
                  </w:pPr>
                  <w:r>
                    <w:rPr>
                      <w:rFonts w:ascii="仿宋_GB2312" w:hAnsi="仿宋_GB2312" w:cs="仿宋_GB2312" w:eastAsia="仿宋_GB2312"/>
                      <w:sz w:val="24"/>
                      <w:color w:val="0000FF"/>
                    </w:rPr>
                    <w:t>整机符合人体工程学设计，易于销售人员操作使用。</w:t>
                  </w:r>
                </w:p>
                <w:p>
                  <w:pPr>
                    <w:pStyle w:val="null3"/>
                    <w:jc w:val="left"/>
                  </w:pPr>
                  <w:r>
                    <w:rPr>
                      <w:rFonts w:ascii="仿宋_GB2312" w:hAnsi="仿宋_GB2312" w:cs="仿宋_GB2312" w:eastAsia="仿宋_GB2312"/>
                      <w:sz w:val="24"/>
                      <w:color w:val="0000FF"/>
                    </w:rPr>
                    <w:t>整机采取模块化设计，易于业务员维修除尘。</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4"/>
                <w:color w:val="0000FF"/>
              </w:rPr>
              <w:t>其他要求</w:t>
            </w:r>
          </w:p>
          <w:p>
            <w:pPr>
              <w:pStyle w:val="null3"/>
              <w:jc w:val="left"/>
            </w:pPr>
            <w:r>
              <w:rPr>
                <w:rFonts w:ascii="仿宋_GB2312" w:hAnsi="仿宋_GB2312" w:cs="仿宋_GB2312" w:eastAsia="仿宋_GB2312"/>
                <w:sz w:val="24"/>
                <w:color w:val="0000FF"/>
              </w:rPr>
              <w:t>1.除采购方特殊声明外，中标厂商在双方签订合同后的15个自然日内，须将所有产品发送至采购人指定收货地点。如果未能按时提供全部产品，每逾期一天须向采购人缴纳总成交额5‰的违约金，逾期3个自然日采购人有权利解除供应合同。</w:t>
            </w:r>
          </w:p>
          <w:p>
            <w:pPr>
              <w:pStyle w:val="null3"/>
              <w:jc w:val="left"/>
            </w:pPr>
            <w:r>
              <w:rPr>
                <w:rFonts w:ascii="仿宋_GB2312" w:hAnsi="仿宋_GB2312" w:cs="仿宋_GB2312" w:eastAsia="仿宋_GB2312"/>
                <w:sz w:val="24"/>
                <w:color w:val="0000FF"/>
              </w:rPr>
              <w:t>2.投标厂商须在《产品配件价格表》中列明投标产品使用的所有配件的品牌及详细技术参数，且明确是否符合招标文件技术参数要求。</w:t>
            </w:r>
          </w:p>
          <w:p>
            <w:pPr>
              <w:pStyle w:val="null3"/>
              <w:jc w:val="left"/>
            </w:pPr>
            <w:r>
              <w:rPr>
                <w:rFonts w:ascii="仿宋_GB2312" w:hAnsi="仿宋_GB2312" w:cs="仿宋_GB2312" w:eastAsia="仿宋_GB2312"/>
                <w:sz w:val="24"/>
                <w:color w:val="0000FF"/>
              </w:rPr>
              <w:t>3.中标厂商须向采购方提供详尽（中文版）技术资料。其中包含设备序列号、产品合格证、使用说明书、用户手册、完整的技术维护手册及其它资料。</w:t>
            </w:r>
          </w:p>
          <w:p>
            <w:pPr>
              <w:pStyle w:val="null3"/>
              <w:jc w:val="left"/>
            </w:pPr>
            <w:r>
              <w:rPr>
                <w:rFonts w:ascii="仿宋_GB2312" w:hAnsi="仿宋_GB2312" w:cs="仿宋_GB2312" w:eastAsia="仿宋_GB2312"/>
                <w:sz w:val="24"/>
                <w:color w:val="0000FF"/>
              </w:rPr>
              <w:t>4.中标产品整机现场免费保修不低于6年。免保期外或免保条款外，维修只收取所更换部件成本费。对免保期外收费的更换部件，厂商必须明确免费保修期。</w:t>
            </w:r>
          </w:p>
          <w:p>
            <w:pPr>
              <w:pStyle w:val="null3"/>
              <w:jc w:val="left"/>
            </w:pPr>
            <w:r>
              <w:rPr>
                <w:rFonts w:ascii="仿宋_GB2312" w:hAnsi="仿宋_GB2312" w:cs="仿宋_GB2312" w:eastAsia="仿宋_GB2312"/>
                <w:sz w:val="24"/>
                <w:color w:val="0000FF"/>
              </w:rPr>
              <w:t>5.投标厂商必须具备按时、独立完成中标产品的供应、安装、调试、培训及维修维护等能力。</w:t>
            </w:r>
          </w:p>
          <w:p>
            <w:pPr>
              <w:pStyle w:val="null3"/>
              <w:jc w:val="left"/>
            </w:pPr>
            <w:r>
              <w:rPr>
                <w:rFonts w:ascii="仿宋_GB2312" w:hAnsi="仿宋_GB2312" w:cs="仿宋_GB2312" w:eastAsia="仿宋_GB2312"/>
                <w:sz w:val="24"/>
                <w:color w:val="0000FF"/>
              </w:rPr>
              <w:t>6.投标厂商须有稳定的研发队伍和持续研发能力。在产品验收合格交付采购方6年内，能持续提供零配件供应和相关售后服务。</w:t>
            </w:r>
          </w:p>
          <w:p>
            <w:pPr>
              <w:pStyle w:val="null3"/>
              <w:jc w:val="left"/>
            </w:pPr>
            <w:r>
              <w:rPr>
                <w:rFonts w:ascii="仿宋_GB2312" w:hAnsi="仿宋_GB2312" w:cs="仿宋_GB2312" w:eastAsia="仿宋_GB2312"/>
                <w:sz w:val="24"/>
                <w:color w:val="0000FF"/>
              </w:rPr>
              <w:t>7.供应商全部产品到货后，应指定专人配合采购人在5个工作日内完成产品验收。</w:t>
            </w:r>
          </w:p>
          <w:p>
            <w:pPr>
              <w:pStyle w:val="null3"/>
              <w:jc w:val="left"/>
            </w:pPr>
            <w:r>
              <w:rPr>
                <w:rFonts w:ascii="仿宋_GB2312" w:hAnsi="仿宋_GB2312" w:cs="仿宋_GB2312" w:eastAsia="仿宋_GB2312"/>
                <w:sz w:val="24"/>
                <w:color w:val="0000FF"/>
              </w:rPr>
              <w:t>8.采购人有权拒收全部货物并终止合同的情景：（1）所提供的产品功能、性能等参数与投标产品的功能、性能等参数不符；（2）因产品硬件原因导致的抽检不合格率≥3%。</w:t>
            </w:r>
          </w:p>
          <w:p>
            <w:pPr>
              <w:pStyle w:val="null3"/>
              <w:jc w:val="left"/>
            </w:pPr>
            <w:r>
              <w:rPr>
                <w:rFonts w:ascii="仿宋_GB2312" w:hAnsi="仿宋_GB2312" w:cs="仿宋_GB2312" w:eastAsia="仿宋_GB2312"/>
                <w:sz w:val="24"/>
                <w:color w:val="0000FF"/>
              </w:rPr>
              <w:t>9.中标厂商须在陕西设有售后服务站，前期未设立的应在中标后10个工作日内设立。售后服务站的专业技术人员须不少于1人，且必须配备不少于约定数量的足够备件，保证故障产品随到随修。</w:t>
            </w:r>
          </w:p>
          <w:p>
            <w:pPr>
              <w:pStyle w:val="null3"/>
              <w:jc w:val="left"/>
            </w:pPr>
            <w:r>
              <w:rPr>
                <w:rFonts w:ascii="仿宋_GB2312" w:hAnsi="仿宋_GB2312" w:cs="仿宋_GB2312" w:eastAsia="仿宋_GB2312"/>
                <w:sz w:val="24"/>
                <w:color w:val="0000FF"/>
              </w:rPr>
              <w:t>10.中标厂商须建立标准的售后服务体系例如400或800客服热线外，同时向网点提供日常操作和保养手册。</w:t>
            </w:r>
          </w:p>
          <w:p>
            <w:pPr>
              <w:pStyle w:val="null3"/>
              <w:jc w:val="left"/>
            </w:pPr>
            <w:r>
              <w:rPr>
                <w:rFonts w:ascii="仿宋_GB2312" w:hAnsi="仿宋_GB2312" w:cs="仿宋_GB2312" w:eastAsia="仿宋_GB2312"/>
                <w:sz w:val="24"/>
                <w:color w:val="0000FF"/>
              </w:rPr>
              <w:t>11.中标厂商须向我中心提供详细的售后服务体系、方式、内容及服务响应时间等售后服务内容。</w:t>
            </w:r>
          </w:p>
          <w:p>
            <w:pPr>
              <w:pStyle w:val="null3"/>
              <w:jc w:val="left"/>
            </w:pPr>
            <w:r>
              <w:rPr>
                <w:rFonts w:ascii="仿宋_GB2312" w:hAnsi="仿宋_GB2312" w:cs="仿宋_GB2312" w:eastAsia="仿宋_GB2312"/>
                <w:sz w:val="24"/>
                <w:color w:val="0000FF"/>
              </w:rPr>
              <w:t>12.中标厂商须保证7天*24小时提供免费电话技术支持，或根据我省要求时间提供现场服务。</w:t>
            </w:r>
          </w:p>
          <w:p>
            <w:pPr>
              <w:pStyle w:val="null3"/>
              <w:jc w:val="left"/>
            </w:pPr>
            <w:r>
              <w:rPr>
                <w:rFonts w:ascii="仿宋_GB2312" w:hAnsi="仿宋_GB2312" w:cs="仿宋_GB2312" w:eastAsia="仿宋_GB2312"/>
                <w:sz w:val="24"/>
                <w:color w:val="0000FF"/>
              </w:rPr>
              <w:t>13.产品出现故障时，供应商应在接到通知后1个小时内给予答复，并指定专人对我省的维护工作提供技术支持。</w:t>
            </w:r>
          </w:p>
          <w:p>
            <w:pPr>
              <w:pStyle w:val="null3"/>
              <w:jc w:val="left"/>
            </w:pPr>
            <w:r>
              <w:rPr>
                <w:rFonts w:ascii="仿宋_GB2312" w:hAnsi="仿宋_GB2312" w:cs="仿宋_GB2312" w:eastAsia="仿宋_GB2312"/>
                <w:sz w:val="24"/>
                <w:color w:val="0000FF"/>
              </w:rPr>
              <w:t>14.厂商投标时须提供投标产品所有构成部件的保外维修报价单，各部件合计总价不得高于投标产品整机价格120%。投标时所有配件价格必须清单列示，未列入清单的配件后续服务中视为免费。</w:t>
            </w:r>
          </w:p>
          <w:p>
            <w:pPr>
              <w:pStyle w:val="null3"/>
              <w:jc w:val="left"/>
            </w:pPr>
            <w:r>
              <w:rPr>
                <w:rFonts w:ascii="仿宋_GB2312" w:hAnsi="仿宋_GB2312" w:cs="仿宋_GB2312" w:eastAsia="仿宋_GB2312"/>
                <w:sz w:val="24"/>
                <w:color w:val="0000FF"/>
              </w:rPr>
              <w:t>15.保修期内，如果个别部件非人为月均故障率高于3%，则认定为部件质量问题，供应商承担相关全部责任，并尽快解决该部件质量问题。首先应提供不低于该部件故障率的整机用于周转，其次免费提供解决问题需要的所有部件，并负责到产品现场解决故障。因部件质量问题解决所产生的一切费用和采购方损失由供应商承担。</w:t>
            </w:r>
          </w:p>
          <w:p>
            <w:pPr>
              <w:pStyle w:val="null3"/>
              <w:jc w:val="left"/>
            </w:pPr>
            <w:r>
              <w:rPr>
                <w:rFonts w:ascii="仿宋_GB2312" w:hAnsi="仿宋_GB2312" w:cs="仿宋_GB2312" w:eastAsia="仿宋_GB2312"/>
                <w:sz w:val="24"/>
                <w:color w:val="0000FF"/>
              </w:rPr>
              <w:t>16.中标产品投入运行期间，供应商不得以任何理由（包括维保合同超期、配件费用未结等原因）拖延故障件的合理返修周期、不得以任何理由造成备机备件短缺、不得以任何理由在保修期内不提供服务。因供应商原因造成产品未及时维修的，由此产生的一切损失（包括网点的经济损失）由供应商承担。</w:t>
            </w:r>
          </w:p>
          <w:p>
            <w:pPr>
              <w:pStyle w:val="null3"/>
              <w:jc w:val="left"/>
            </w:pPr>
            <w:r>
              <w:rPr>
                <w:rFonts w:ascii="仿宋_GB2312" w:hAnsi="仿宋_GB2312" w:cs="仿宋_GB2312" w:eastAsia="仿宋_GB2312"/>
                <w:sz w:val="24"/>
                <w:color w:val="0000FF"/>
              </w:rPr>
              <w:t>17.中标产品投入运行期间，厂商驻陕售后服务站在收到体彩管理站返修的故障件后，必须在5个工作日之内返还到管理站，不得以任何理由拖延。</w:t>
            </w:r>
          </w:p>
          <w:p>
            <w:pPr>
              <w:pStyle w:val="null3"/>
              <w:jc w:val="left"/>
            </w:pPr>
            <w:r>
              <w:rPr>
                <w:rFonts w:ascii="仿宋_GB2312" w:hAnsi="仿宋_GB2312" w:cs="仿宋_GB2312" w:eastAsia="仿宋_GB2312"/>
                <w:sz w:val="24"/>
                <w:color w:val="0000FF"/>
              </w:rPr>
              <w:t>18.如果产品在运行中出现大面积故障，供应商应在接到报告后24小时内带足备机和备件到达现场进行故障排除，并在72小时内全面解决故障。未按规定时间排除故障的，供应商须赔偿一切经济损失（包括省中心及销售网点）。</w:t>
            </w:r>
          </w:p>
          <w:p>
            <w:pPr>
              <w:pStyle w:val="null3"/>
              <w:jc w:val="left"/>
            </w:pPr>
            <w:r>
              <w:rPr>
                <w:rFonts w:ascii="仿宋_GB2312" w:hAnsi="仿宋_GB2312" w:cs="仿宋_GB2312" w:eastAsia="仿宋_GB2312"/>
                <w:sz w:val="24"/>
                <w:color w:val="0000FF"/>
              </w:rPr>
              <w:t>19.供应商应确保产品在使用过程中的维修服务。如遇配件价格调整，须得到采购方书面认可后实施，否则将执行原维修价格。</w:t>
            </w:r>
          </w:p>
          <w:p>
            <w:pPr>
              <w:pStyle w:val="null3"/>
              <w:jc w:val="both"/>
            </w:pPr>
            <w:r>
              <w:rPr>
                <w:rFonts w:ascii="仿宋_GB2312" w:hAnsi="仿宋_GB2312" w:cs="仿宋_GB2312" w:eastAsia="仿宋_GB2312"/>
                <w:sz w:val="24"/>
                <w:color w:val="0000FF"/>
              </w:rPr>
              <w:t>20.在产品服务期内，供应商须对采购人每年至少2次的省内业务员培训或巡检服务提供免费技术支持。</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1"/>
              </w:rPr>
              <w:t>样机</w:t>
            </w:r>
            <w:r>
              <w:br/>
            </w:r>
            <w:r>
              <w:rPr>
                <w:rFonts w:ascii="仿宋_GB2312" w:hAnsi="仿宋_GB2312" w:cs="仿宋_GB2312" w:eastAsia="仿宋_GB2312"/>
                <w:sz w:val="21"/>
              </w:rPr>
              <w:t xml:space="preserve"> 1.本项目要求提供样机并对样机进行评审（明标），未提供样机的不得分，但不作为无效投标对待。所供样机应与所投产品一致，否则视为未提供。</w:t>
            </w:r>
            <w:r>
              <w:br/>
            </w:r>
            <w:r>
              <w:rPr>
                <w:rFonts w:ascii="仿宋_GB2312" w:hAnsi="仿宋_GB2312" w:cs="仿宋_GB2312" w:eastAsia="仿宋_GB2312"/>
                <w:sz w:val="21"/>
              </w:rPr>
              <w:t xml:space="preserve"> 2.样机内容：体育彩票传统终端机1台（含原厂包装），自带热敏纸（能连打票30张以上）。</w:t>
            </w:r>
            <w:r>
              <w:br/>
            </w:r>
            <w:r>
              <w:rPr>
                <w:rFonts w:ascii="仿宋_GB2312" w:hAnsi="仿宋_GB2312" w:cs="仿宋_GB2312" w:eastAsia="仿宋_GB2312"/>
                <w:sz w:val="21"/>
              </w:rPr>
              <w:t xml:space="preserve"> 3.样机递交</w:t>
            </w:r>
            <w:r>
              <w:br/>
            </w:r>
            <w:r>
              <w:rPr>
                <w:rFonts w:ascii="仿宋_GB2312" w:hAnsi="仿宋_GB2312" w:cs="仿宋_GB2312" w:eastAsia="仿宋_GB2312"/>
                <w:sz w:val="21"/>
              </w:rPr>
              <w:t xml:space="preserve"> ①时间：同投标截止时间，逾期不予受理。</w:t>
            </w:r>
            <w:r>
              <w:br/>
            </w:r>
            <w:r>
              <w:rPr>
                <w:rFonts w:ascii="仿宋_GB2312" w:hAnsi="仿宋_GB2312" w:cs="仿宋_GB2312" w:eastAsia="仿宋_GB2312"/>
                <w:sz w:val="21"/>
              </w:rPr>
              <w:t xml:space="preserve"> ②地点：西安市科技路30号合力紫郡A座2203室。</w:t>
            </w:r>
            <w:r>
              <w:br/>
            </w:r>
            <w:r>
              <w:rPr>
                <w:rFonts w:ascii="仿宋_GB2312" w:hAnsi="仿宋_GB2312" w:cs="仿宋_GB2312" w:eastAsia="仿宋_GB2312"/>
                <w:sz w:val="21"/>
              </w:rPr>
              <w:t xml:space="preserve"> ③投标人递交样机时需要提供样机清单，清单加盖公章。递交时由代理机构核对。</w:t>
            </w:r>
            <w:r>
              <w:br/>
            </w:r>
            <w:r>
              <w:rPr>
                <w:rFonts w:ascii="仿宋_GB2312" w:hAnsi="仿宋_GB2312" w:cs="仿宋_GB2312" w:eastAsia="仿宋_GB2312"/>
                <w:sz w:val="21"/>
              </w:rPr>
              <w:t xml:space="preserve"> 4.样机退还：</w:t>
            </w:r>
            <w:r>
              <w:br/>
            </w:r>
            <w:r>
              <w:rPr>
                <w:rFonts w:ascii="仿宋_GB2312" w:hAnsi="仿宋_GB2312" w:cs="仿宋_GB2312" w:eastAsia="仿宋_GB2312"/>
                <w:sz w:val="21"/>
              </w:rPr>
              <w:t xml:space="preserve"> ①未中标投标人样机在中标公告发出后两个工作日内自行领取，如未在规定时间内领取样机则由采购代理机构或采购人代为处理，后期不得有任何异议。</w:t>
            </w:r>
            <w:r>
              <w:br/>
            </w:r>
            <w:r>
              <w:rPr>
                <w:rFonts w:ascii="仿宋_GB2312" w:hAnsi="仿宋_GB2312" w:cs="仿宋_GB2312" w:eastAsia="仿宋_GB2312"/>
                <w:sz w:val="21"/>
              </w:rPr>
              <w:t xml:space="preserve"> ②中标人样机由采购人封存，在项目验收合格后由采购人退还。</w:t>
            </w:r>
            <w:r>
              <w:br/>
            </w:r>
            <w:r>
              <w:rPr>
                <w:rFonts w:ascii="仿宋_GB2312" w:hAnsi="仿宋_GB2312" w:cs="仿宋_GB2312" w:eastAsia="仿宋_GB2312"/>
                <w:sz w:val="21"/>
              </w:rPr>
              <w:t xml:space="preserve"> 5.各投标人自行承担样机搬运过程中发生的费用和损失。</w:t>
            </w:r>
            <w:r>
              <w:br/>
            </w: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合同签订后15天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照国家标准、行业标准、招标文件、投标文件进行验收。采购人有权拒收全部货物并终止合同的情景：（1）所提供的产品功能、性能等参数与投标产品的功能、性能等参数不符；（2）因产品硬件原因导致的抽检不合格率≥3%。</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按照国家标准、行业标准、招标文件、投标文件进行验收。采购人有权拒收全部货物并终止合同的情景：（1）所提供的产品功能、性能等参数与投标产品的功能、性能等参数不符；（2）因产品硬件原因导致的抽检不合格率≥3%。</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1.质保范围：整机。 2.保修期：验收合格后6年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1.质保范围：整机。 2.保修期：验收合格后6年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一、投标要求： 1.本项目通过电子化交易系统投标，供应商除需在电子化交易系统上传投标文件外，另外还需在投标截止时间前，向代理机构递交密封完好的系统生成的纸质版投标文件（一份，胶装），密封封套上标注项目名称、包号和供应商名称。有关报价文件，供应商可以不提供。 2.开标当日，供应商应在开标大厅等候并保持通讯畅通，以便出现询标时能及时在线。 二、非实质性偏离： 非实质性偏差不影响投标文件的有效性。以下情况属于非实质性偏差： 1.文字表述的内容含义不明确的； 2.同类问题表述不一致的； 3.有明显文字和计算错误的； 4.提供的技术信息和资料不完整的； 5.评标委员会认定的其他非实质性偏差。 三、无效投标情形： 投标人或投标文件存在下列情况之一的为无效投标： 1．投标人名称与注册证照名称不符的； 2．不具备招标文件规定的资格条件或证明材料无效或不全的； 3．无投标有效期或投标有效期不足的； 4．执行标准明显低于采购需求的； 5．不能实质性响应招标文件采购内容的； 6．报价明显低于其他合格投标人的报价，在现场规定的时间内不能提供有效证明材料且经评标委员会认定形成不正当竞争的； 7．提供虚假证明，开具虚假资质，出现虚假应答或故意隐瞒行为的，除按无效投标处理外还按政府采购相关规定进行相应的处罚； 8．不符合法律、法规和招标文件规定的其他无效情形。 四、中小企业： 是否属于中小企业，供应商按《政府采购促进中小企业发展管理办法》（财库〔2020〕46号）和《统计上大中小微型企业划分办法（2017）》（国统字﹝2017﹞213号）工业划型标准判定，并承担责任。如判定原则与第四章及附件格式不一致的，以此为准，若供应商填写的《中小企业声明函》中“采购文件中明确的所属行业”与采购文件第三章明确的标的所属行业不一致，将对供应商《中小企业声明函》中所填企业规模，按声明函中的资料进行复核，供应商应接受复核的结果，如无法复核，将不视为中小企业。 五、推荐中标候选人 1.评标委员会将根据综合评分情况，按照评审得分由高到低排序推荐3名中标候选人。 2.评审包中如有供应商已获得过第一中标候选人推荐资格的： （1）当已获得过推荐资格供应商排序第一时，该供应商不再参加该包中标候选人推荐，剩余供应商≥3家的，剩余供应商按序推荐中标候选人；如剩余供应商不足3家时，该包废标。 （2）本项目评审顺序：合同包1、合同包2。 六、本文件中供应商也称投标人，采购文件也称招标文件。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未被信用中国网站列入失信被执行人和重大税收违法案件当事人名单、未被中国政府采购网列入政府采购严重违法失信行为记录名单（开标时系统查询）。提供参加本次政府采购活动前3年内在经营活动中没有重大违纪的书面声明。</w:t>
            </w:r>
          </w:p>
        </w:tc>
        <w:tc>
          <w:tcPr>
            <w:tcW w:type="dxa" w:w="1661"/>
          </w:tcPr>
          <w:p>
            <w:pPr>
              <w:pStyle w:val="null3"/>
            </w:pPr>
            <w:r>
              <w:rPr>
                <w:rFonts w:ascii="仿宋_GB2312" w:hAnsi="仿宋_GB2312" w:cs="仿宋_GB2312" w:eastAsia="仿宋_GB2312"/>
              </w:rPr>
              <w:t>信用声明.docx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注册证照</w:t>
            </w:r>
          </w:p>
        </w:tc>
        <w:tc>
          <w:tcPr>
            <w:tcW w:type="dxa" w:w="3322"/>
          </w:tcPr>
          <w:p>
            <w:pPr>
              <w:pStyle w:val="null3"/>
            </w:pPr>
            <w:r>
              <w:rPr>
                <w:rFonts w:ascii="仿宋_GB2312" w:hAnsi="仿宋_GB2312" w:cs="仿宋_GB2312" w:eastAsia="仿宋_GB2312"/>
              </w:rPr>
              <w:t>法人单位提供带有统一社会信用代码营业执照，未提供的接受采购人通过国家企业信用信息公示系统（http://www.gsxt.gov.cn/index.html）进行相关信息的核实，并承担核实不到的后果；事业单位提供事业单位法人登记证；其他组织提供民办非企业单位登记证；专业服务机构提供执业许可证等；自然人提供身份证。</w:t>
            </w:r>
          </w:p>
        </w:tc>
        <w:tc>
          <w:tcPr>
            <w:tcW w:type="dxa" w:w="1661"/>
          </w:tcPr>
          <w:p>
            <w:pPr>
              <w:pStyle w:val="null3"/>
            </w:pPr>
            <w:r>
              <w:rPr>
                <w:rFonts w:ascii="仿宋_GB2312" w:hAnsi="仿宋_GB2312" w:cs="仿宋_GB2312" w:eastAsia="仿宋_GB2312"/>
              </w:rPr>
              <w:t>注册证照.docx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2023或2024年度经第三方会计事务所审计过的财务报告，或投标截止时间前90天内基本账户银行出具的资信证明。注：①提供财务报告的，内容至少包括：审计报告、附注。②提供资信证明的，必须提供资信证明全部页以及基本户信息（提供开户许可证复印件或提供基本银行账户信息复印件加盖公章）。银行出具的存款证明不能代替资信证明，存款证明无效。</w:t>
            </w:r>
          </w:p>
        </w:tc>
        <w:tc>
          <w:tcPr>
            <w:tcW w:type="dxa" w:w="1661"/>
          </w:tcPr>
          <w:p>
            <w:pPr>
              <w:pStyle w:val="null3"/>
            </w:pPr>
            <w:r>
              <w:rPr>
                <w:rFonts w:ascii="仿宋_GB2312" w:hAnsi="仿宋_GB2312" w:cs="仿宋_GB2312" w:eastAsia="仿宋_GB2312"/>
              </w:rPr>
              <w:t>财务状况证明.docx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 2024年至今至少一次依法纳税的相关凭证(税种至少为增值税或企业所得税中的一种);依法免税或无须缴纳税收的应提供链条完整的证明;成立不足一个月的提供将依法纳税的承诺书(格式自拟)。注:①零报税的提供申报成功的凭证。②时间以税款所属时段为准。</w:t>
            </w:r>
          </w:p>
        </w:tc>
        <w:tc>
          <w:tcPr>
            <w:tcW w:type="dxa" w:w="1661"/>
          </w:tcPr>
          <w:p>
            <w:pPr>
              <w:pStyle w:val="null3"/>
            </w:pPr>
            <w:r>
              <w:rPr>
                <w:rFonts w:ascii="仿宋_GB2312" w:hAnsi="仿宋_GB2312" w:cs="仿宋_GB2312" w:eastAsia="仿宋_GB2312"/>
              </w:rPr>
              <w:t>纳税证明.docx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单据应显示社保缴存项（任一项）。</w:t>
            </w:r>
          </w:p>
        </w:tc>
        <w:tc>
          <w:tcPr>
            <w:tcW w:type="dxa" w:w="1661"/>
          </w:tcPr>
          <w:p>
            <w:pPr>
              <w:pStyle w:val="null3"/>
            </w:pPr>
            <w:r>
              <w:rPr>
                <w:rFonts w:ascii="仿宋_GB2312" w:hAnsi="仿宋_GB2312" w:cs="仿宋_GB2312" w:eastAsia="仿宋_GB2312"/>
              </w:rPr>
              <w:t>社会保障资金缴纳证明.docx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履约能力证明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履约能力证明.docx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不接受联合体，提供非联合体声明。</w:t>
            </w:r>
          </w:p>
        </w:tc>
        <w:tc>
          <w:tcPr>
            <w:tcW w:type="dxa" w:w="1661"/>
          </w:tcPr>
          <w:p>
            <w:pPr>
              <w:pStyle w:val="null3"/>
            </w:pPr>
            <w:r>
              <w:rPr>
                <w:rFonts w:ascii="仿宋_GB2312" w:hAnsi="仿宋_GB2312" w:cs="仿宋_GB2312" w:eastAsia="仿宋_GB2312"/>
              </w:rPr>
              <w:t>非联合体声明.docx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未被信用中国网站列入失信被执行人和重大税收违法案件当事人名单、未被中国政府采购网列入政府采购严重违法失信行为记录名单（开标时系统查询）。提供参加本次政府采购活动前3年内在经营活动中没有重大违纪的书面声明。</w:t>
            </w:r>
          </w:p>
        </w:tc>
        <w:tc>
          <w:tcPr>
            <w:tcW w:type="dxa" w:w="1661"/>
          </w:tcPr>
          <w:p>
            <w:pPr>
              <w:pStyle w:val="null3"/>
            </w:pPr>
            <w:r>
              <w:rPr>
                <w:rFonts w:ascii="仿宋_GB2312" w:hAnsi="仿宋_GB2312" w:cs="仿宋_GB2312" w:eastAsia="仿宋_GB2312"/>
              </w:rPr>
              <w:t>信用声明.docx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注册证照</w:t>
            </w:r>
          </w:p>
        </w:tc>
        <w:tc>
          <w:tcPr>
            <w:tcW w:type="dxa" w:w="3322"/>
          </w:tcPr>
          <w:p>
            <w:pPr>
              <w:pStyle w:val="null3"/>
            </w:pPr>
            <w:r>
              <w:rPr>
                <w:rFonts w:ascii="仿宋_GB2312" w:hAnsi="仿宋_GB2312" w:cs="仿宋_GB2312" w:eastAsia="仿宋_GB2312"/>
              </w:rPr>
              <w:t>法人单位提供带有统一社会信用代码营业执照，未提供的接受采购人通过国家企业信用信息公示系统（http://www.gsxt.gov.cn/index.html）进行相关信息的核实，并承担核实不到的后果；事业单位提供事业单位法人登记证；其他组织提供民办非企业单位登记证；专业服务机构提供执业许可证等；自然人提供身份证。</w:t>
            </w:r>
          </w:p>
        </w:tc>
        <w:tc>
          <w:tcPr>
            <w:tcW w:type="dxa" w:w="1661"/>
          </w:tcPr>
          <w:p>
            <w:pPr>
              <w:pStyle w:val="null3"/>
            </w:pPr>
            <w:r>
              <w:rPr>
                <w:rFonts w:ascii="仿宋_GB2312" w:hAnsi="仿宋_GB2312" w:cs="仿宋_GB2312" w:eastAsia="仿宋_GB2312"/>
              </w:rPr>
              <w:t>注册证照.docx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2023或2024年度经第三方会计事务所审计过的财务报告，或投标截止时间前90天内基本账户银行出具的资信证明。注：①提供财务报告的，内容至少包括：审计报告、附注。②提供资信证明的，必须提供资信证明全部页以及基本户信息（提供开户许可证复印件或提供基本银行账户信息复印件加盖公章）。银行出具的存款证明不能代替资信证明，存款证明无效。</w:t>
            </w:r>
          </w:p>
        </w:tc>
        <w:tc>
          <w:tcPr>
            <w:tcW w:type="dxa" w:w="1661"/>
          </w:tcPr>
          <w:p>
            <w:pPr>
              <w:pStyle w:val="null3"/>
            </w:pPr>
            <w:r>
              <w:rPr>
                <w:rFonts w:ascii="仿宋_GB2312" w:hAnsi="仿宋_GB2312" w:cs="仿宋_GB2312" w:eastAsia="仿宋_GB2312"/>
              </w:rPr>
              <w:t>财务状况证明.docx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 2024 年至今至少一次依法纳税的相关凭证(税种至少为增值税或企业所得税中的一种);依法免税或无须缴纳税收的应提供链条完整的证明;成立不足一个月的提供将依法纳税的承诺书(格式自拟)。注:①零报税的提供申报成功的凭证。②时间以税款所属时段为准。</w:t>
            </w:r>
          </w:p>
        </w:tc>
        <w:tc>
          <w:tcPr>
            <w:tcW w:type="dxa" w:w="1661"/>
          </w:tcPr>
          <w:p>
            <w:pPr>
              <w:pStyle w:val="null3"/>
            </w:pPr>
            <w:r>
              <w:rPr>
                <w:rFonts w:ascii="仿宋_GB2312" w:hAnsi="仿宋_GB2312" w:cs="仿宋_GB2312" w:eastAsia="仿宋_GB2312"/>
              </w:rPr>
              <w:t>纳税证明.docx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单据应显示社保缴存项（任一项）。</w:t>
            </w:r>
          </w:p>
        </w:tc>
        <w:tc>
          <w:tcPr>
            <w:tcW w:type="dxa" w:w="1661"/>
          </w:tcPr>
          <w:p>
            <w:pPr>
              <w:pStyle w:val="null3"/>
            </w:pPr>
            <w:r>
              <w:rPr>
                <w:rFonts w:ascii="仿宋_GB2312" w:hAnsi="仿宋_GB2312" w:cs="仿宋_GB2312" w:eastAsia="仿宋_GB2312"/>
              </w:rPr>
              <w:t>社会保障资金缴纳证明.docx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履约能力证明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履约能力证明.docx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不接受联合体，提供非联合体声明。</w:t>
            </w:r>
          </w:p>
        </w:tc>
        <w:tc>
          <w:tcPr>
            <w:tcW w:type="dxa" w:w="1661"/>
          </w:tcPr>
          <w:p>
            <w:pPr>
              <w:pStyle w:val="null3"/>
            </w:pPr>
            <w:r>
              <w:rPr>
                <w:rFonts w:ascii="仿宋_GB2312" w:hAnsi="仿宋_GB2312" w:cs="仿宋_GB2312" w:eastAsia="仿宋_GB2312"/>
              </w:rPr>
              <w:t>非联合体声明.docx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供应商应按格式/模板填写供应商名称，至少以下文件应与营业执照、公章一致。1.投标文件封面。2.投标函。</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不少于投标有效期（90日历天）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1.报价未超过采购预算，且报价唯一。 2.报价货币符合招标文件要求。</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合同签订后15天</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采购人指定地点</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主要商务条款</w:t>
            </w:r>
          </w:p>
        </w:tc>
        <w:tc>
          <w:tcPr>
            <w:tcW w:type="dxa" w:w="3322"/>
          </w:tcPr>
          <w:p>
            <w:pPr>
              <w:pStyle w:val="null3"/>
            </w:pPr>
            <w:r>
              <w:rPr>
                <w:rFonts w:ascii="仿宋_GB2312" w:hAnsi="仿宋_GB2312" w:cs="仿宋_GB2312" w:eastAsia="仿宋_GB2312"/>
              </w:rPr>
              <w:t>1.付款：合同签订后15日内，支付合同总金额的50%，验收合格后15日内，支付合同总金额的50%。 2.售后服务： （1）投标厂商须有稳定的研发队伍和持续研发能力。在产品验收合格交付采购方6年内，能持续提供零配件供应和相关售后服务。 （2）中标人须在陕西设有售后服务站，前期未设立的应在中标后10个工作日内设立。售后服务站的专业技术人员须不少于1人，且必须配备不少于约定数量的足够备件，保证故障产品的随到随修。 （3）中标人须建立标准的售后服务体系例如400或800客服热线外，同时向网点提供日常操作和保养手册。 （4）中标厂商须向我中心提供详细的售后服务体系、方式、内容及服务响应时间等售后服务内容。 （5）中标人须保证7天*24小时提供免费电话技术支持，或根据我省要求时间提供现场服务。 （6）保修期内，如果个别部件非人为月均故障率高于3%，则认定为部件质量问题，中标人承担相关全部责任，并尽快解决该部件质量问题。因部件质量问题解决所产生的一切费用和采购方损失由供应商承担。 （7）中标产品投入运行期间，中标人不得以任何理由（包括维保合同超期、配件费用未结等原因）拖延故障件的合理返修周期、不得以任何理由造成备机备件短缺、不得以任何理由在保修期内不提供服务。因供应商原因造成产品未及时维修的，由此产生的一切损失（包括网点的经济损失）由供应商承担。 （8）中标产品投入运行期间，厂商驻陕售后服务站在收到体彩管理站返修的故障件后，必须在5个工作日之内返还到管理站，不得以任何理由拖延。 （9）在产品服务期内，供应商须免费向采购人提供每年至少2次的国内业务员培训或相应的巡检服务支持。 3.验收： 采购人按照国家标准、行业标准、招标文件、投标文件进行验收。采购人有权拒收全部货物并终止合同的情景：（1）所提供的产品功能、性能等参数与投标产品的功能、性能等参数不符；（2）因产品硬件原因导致的抽检不合格率≥3%。</w:t>
            </w:r>
          </w:p>
        </w:tc>
        <w:tc>
          <w:tcPr>
            <w:tcW w:type="dxa" w:w="1661"/>
          </w:tcPr>
          <w:p>
            <w:pPr>
              <w:pStyle w:val="null3"/>
            </w:pPr>
            <w:r>
              <w:rPr>
                <w:rFonts w:ascii="仿宋_GB2312" w:hAnsi="仿宋_GB2312" w:cs="仿宋_GB2312" w:eastAsia="仿宋_GB2312"/>
              </w:rPr>
              <w:t>主要商务条款响应偏离表.docx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1.投标产品品目、数量符合采购文件的要求。 2.★号项无负偏离。</w:t>
            </w:r>
          </w:p>
        </w:tc>
        <w:tc>
          <w:tcPr>
            <w:tcW w:type="dxa" w:w="1661"/>
          </w:tcPr>
          <w:p>
            <w:pPr>
              <w:pStyle w:val="null3"/>
            </w:pPr>
            <w:r>
              <w:rPr>
                <w:rFonts w:ascii="仿宋_GB2312" w:hAnsi="仿宋_GB2312" w:cs="仿宋_GB2312" w:eastAsia="仿宋_GB2312"/>
              </w:rPr>
              <w:t>投标产品明细表.docx 投标产品技术参数明细表.docx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验收合格后6年</w:t>
            </w:r>
          </w:p>
        </w:tc>
        <w:tc>
          <w:tcPr>
            <w:tcW w:type="dxa" w:w="1661"/>
          </w:tcPr>
          <w:p>
            <w:pPr>
              <w:pStyle w:val="null3"/>
            </w:pPr>
            <w:r>
              <w:rPr>
                <w:rFonts w:ascii="仿宋_GB2312" w:hAnsi="仿宋_GB2312" w:cs="仿宋_GB2312" w:eastAsia="仿宋_GB2312"/>
              </w:rPr>
              <w:t>质保期.docx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配件价格</w:t>
            </w:r>
          </w:p>
        </w:tc>
        <w:tc>
          <w:tcPr>
            <w:tcW w:type="dxa" w:w="3322"/>
          </w:tcPr>
          <w:p>
            <w:pPr>
              <w:pStyle w:val="null3"/>
            </w:pPr>
            <w:r>
              <w:rPr>
                <w:rFonts w:ascii="仿宋_GB2312" w:hAnsi="仿宋_GB2312" w:cs="仿宋_GB2312" w:eastAsia="仿宋_GB2312"/>
              </w:rPr>
              <w:t>每套配件总价不超过单台整机价格的120%</w:t>
            </w:r>
          </w:p>
        </w:tc>
        <w:tc>
          <w:tcPr>
            <w:tcW w:type="dxa" w:w="1661"/>
          </w:tcPr>
          <w:p>
            <w:pPr>
              <w:pStyle w:val="null3"/>
            </w:pPr>
            <w:r>
              <w:rPr>
                <w:rFonts w:ascii="仿宋_GB2312" w:hAnsi="仿宋_GB2312" w:cs="仿宋_GB2312" w:eastAsia="仿宋_GB2312"/>
              </w:rPr>
              <w:t>售后及履约服务3.docx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供应商应按格式/模板填写供应商名称，至少以下文件应与营业执照、公章一致。1.投标文件封面。2.投标函。</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不少于投标有效期（90日历天）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1.报价未超过采购预算，且报价唯一。 2.报价货币符合招标文件要求。</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合同签订后15天</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采购人指定地点</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主要商务条款</w:t>
            </w:r>
          </w:p>
        </w:tc>
        <w:tc>
          <w:tcPr>
            <w:tcW w:type="dxa" w:w="3322"/>
          </w:tcPr>
          <w:p>
            <w:pPr>
              <w:pStyle w:val="null3"/>
            </w:pPr>
            <w:r>
              <w:rPr>
                <w:rFonts w:ascii="仿宋_GB2312" w:hAnsi="仿宋_GB2312" w:cs="仿宋_GB2312" w:eastAsia="仿宋_GB2312"/>
              </w:rPr>
              <w:t>1.付款：合同签订后15日内，支付合同总金额的50%，验收合格后15日内，支付合同总金额的50%。 2.售后服务： （1）投标厂商须有稳定的研发队伍和持续研发能力。在产品验收合格交付采购方6年内，能持续提供零配件供应和相关售后服务。 （2）中标人须在陕西设有售后服务站，前期未设立的应在中标后10个工作日内设立。售后服务站的专业技术人员须不少于1人，且必须配备不少于约定数量的足够备件，保证故障产品的随到随修。 （3）中标人须建立标准的售后服务体系例如400或800客服热线外，同时向网点提供日常操作和保养手册。 （4）中标厂商须向我中心提供详细的售后服务体系、方式、内容及服务响应时间等售后服务内容。 （5）中标人须保证7天*24小时提供免费电话技术支持，或根据我省要求时间提供现场服务。 （6）保修期内，如果个别部件非人为月均故障率高于3%，则认定为部件质量问题，中标人承担相关全部责任，并尽快解决该部件质量问题。因部件质量问题解决所产生的一切费用和采购方损失由供应商承担。 （7）中标产品投入运行期间，中标人不得以任何理由（包括维保合同超期、配件费用未结等原因）拖延故障件的合理返修周期、不得以任何理由造成备机备件短缺、不得以任何理由在保修期内不提供服务。因供应商原因造成产品未及时维修的，由此产生的一切损失（包括网点的经济损失）由供应商承担。 （8）中标产品投入运行期间，厂商驻陕售后服务站在收到体彩管理站返修的故障件后，必须在5个工作日之内返还到管理站，不得以任何理由拖延。 （9）在产品服务期内，供应商须免费向采购人提供每年至少2次的国内业务员培训或相应的巡检服务支持。 3.验收： 采购人按照国家标准、行业标准、招标文件、投标文件进行验收。采购人有权拒收全部货物并终止合同的情景：（1）所提供的产品功能、性能等参数与投标产品的功能、性能等参数不符；（2）因产品硬件原因导致的抽检不合格率≥3%。</w:t>
            </w:r>
          </w:p>
        </w:tc>
        <w:tc>
          <w:tcPr>
            <w:tcW w:type="dxa" w:w="1661"/>
          </w:tcPr>
          <w:p>
            <w:pPr>
              <w:pStyle w:val="null3"/>
            </w:pPr>
            <w:r>
              <w:rPr>
                <w:rFonts w:ascii="仿宋_GB2312" w:hAnsi="仿宋_GB2312" w:cs="仿宋_GB2312" w:eastAsia="仿宋_GB2312"/>
              </w:rPr>
              <w:t>主要商务条款响应偏离表.docx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1.投标产品品目、数量符合采购文件的要求。 2.★号项无负偏离。</w:t>
            </w:r>
          </w:p>
        </w:tc>
        <w:tc>
          <w:tcPr>
            <w:tcW w:type="dxa" w:w="1661"/>
          </w:tcPr>
          <w:p>
            <w:pPr>
              <w:pStyle w:val="null3"/>
            </w:pPr>
            <w:r>
              <w:rPr>
                <w:rFonts w:ascii="仿宋_GB2312" w:hAnsi="仿宋_GB2312" w:cs="仿宋_GB2312" w:eastAsia="仿宋_GB2312"/>
              </w:rPr>
              <w:t>投标产品明细表.docx 投标产品技术参数明细表.docx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验收合格后6年</w:t>
            </w:r>
          </w:p>
        </w:tc>
        <w:tc>
          <w:tcPr>
            <w:tcW w:type="dxa" w:w="1661"/>
          </w:tcPr>
          <w:p>
            <w:pPr>
              <w:pStyle w:val="null3"/>
            </w:pPr>
            <w:r>
              <w:rPr>
                <w:rFonts w:ascii="仿宋_GB2312" w:hAnsi="仿宋_GB2312" w:cs="仿宋_GB2312" w:eastAsia="仿宋_GB2312"/>
              </w:rPr>
              <w:t>质保期.docx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配件价格</w:t>
            </w:r>
          </w:p>
        </w:tc>
        <w:tc>
          <w:tcPr>
            <w:tcW w:type="dxa" w:w="3322"/>
          </w:tcPr>
          <w:p>
            <w:pPr>
              <w:pStyle w:val="null3"/>
            </w:pPr>
            <w:r>
              <w:rPr>
                <w:rFonts w:ascii="仿宋_GB2312" w:hAnsi="仿宋_GB2312" w:cs="仿宋_GB2312" w:eastAsia="仿宋_GB2312"/>
              </w:rPr>
              <w:t>每套配件总价不超过单台整机价格的120%</w:t>
            </w:r>
          </w:p>
        </w:tc>
        <w:tc>
          <w:tcPr>
            <w:tcW w:type="dxa" w:w="1661"/>
          </w:tcPr>
          <w:p>
            <w:pPr>
              <w:pStyle w:val="null3"/>
            </w:pPr>
            <w:r>
              <w:rPr>
                <w:rFonts w:ascii="仿宋_GB2312" w:hAnsi="仿宋_GB2312" w:cs="仿宋_GB2312" w:eastAsia="仿宋_GB2312"/>
              </w:rPr>
              <w:t>售后及履约服务3.docx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产品功能</w:t>
            </w:r>
          </w:p>
        </w:tc>
        <w:tc>
          <w:tcPr>
            <w:tcW w:type="dxa" w:w="2492"/>
          </w:tcPr>
          <w:p>
            <w:pPr>
              <w:pStyle w:val="null3"/>
            </w:pPr>
            <w:r>
              <w:rPr>
                <w:rFonts w:ascii="仿宋_GB2312" w:hAnsi="仿宋_GB2312" w:cs="仿宋_GB2312" w:eastAsia="仿宋_GB2312"/>
              </w:rPr>
              <w:t>投标产品功能完全满足招标文件3.3条中主要参数要求的计31分，每有一项功能不满足扣2分，扣完为止。 注：投标人需提供产品技术参数佐证材料，佐证材料不限于产品说明书、技术手册、制造商公开发行的宣传册/页、制造商官网的产品技术参数截图、第三方的检测报告等，未提供或不能显示指标的参数视为负偏离。</w:t>
            </w:r>
          </w:p>
        </w:tc>
        <w:tc>
          <w:tcPr>
            <w:tcW w:type="dxa" w:w="831"/>
          </w:tcPr>
          <w:p>
            <w:pPr>
              <w:pStyle w:val="null3"/>
              <w:jc w:val="right"/>
            </w:pPr>
            <w:r>
              <w:rPr>
                <w:rFonts w:ascii="仿宋_GB2312" w:hAnsi="仿宋_GB2312" w:cs="仿宋_GB2312" w:eastAsia="仿宋_GB2312"/>
              </w:rPr>
              <w:t>31.0000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投标产品技术参数明细表.docx</w:t>
            </w:r>
          </w:p>
          <w:p>
            <w:pPr>
              <w:pStyle w:val="null3"/>
            </w:pPr>
            <w:r>
              <w:rPr>
                <w:rFonts w:ascii="仿宋_GB2312" w:hAnsi="仿宋_GB2312" w:cs="仿宋_GB2312" w:eastAsia="仿宋_GB2312"/>
              </w:rPr>
              <w:t>投标产品技术指标偏离表.docx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投标人需结合自身实力和经验提供供货实施方案，方案包括但不限于：①生产备货组织②人力资金保障③运输保障④配送安装调试⑤验收等。 1.生产备货计划详细，时间节点具体，便于采购人监督核查。根据响应程度、详细程度、可行性得［1-0]分。 2.各环节人力投入具体，责任清晰，资金调配保障可靠，能较好的保证项目实施，便于采购人监督核查。根据响应程度、详细程度、可行性得［1-0]分。 3.运输方案全面、详细，安全保障措施具体。根据响应程度、详细程度、可行性得［2-0]分。 4.配送安装计划详细，组织有序，链条完整，措施规范。根据响应程度、详细程度、可行性得［2-0]分。 5.验收资料完整，验收组织计划充分。根据响应程度、详细程度、可行性得［2-0]分。 注：①以上各项如未提供或内容可行性差或与项目不符，对应项不得分。②内容空洞，或内容前后重复、堆砌，或属于照搬照抄针对性差，对应项最高0.5分。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售后及履约服务1</w:t>
            </w:r>
          </w:p>
        </w:tc>
        <w:tc>
          <w:tcPr>
            <w:tcW w:type="dxa" w:w="2492"/>
          </w:tcPr>
          <w:p>
            <w:pPr>
              <w:pStyle w:val="null3"/>
            </w:pPr>
            <w:r>
              <w:rPr>
                <w:rFonts w:ascii="仿宋_GB2312" w:hAnsi="仿宋_GB2312" w:cs="仿宋_GB2312" w:eastAsia="仿宋_GB2312"/>
              </w:rPr>
              <w:t>根据投标人提供的售后服务方案对采购需求的响应程度计[3-0]分，未提供不得分，内容空洞，或内容前后重复、堆砌，或属于照搬照抄针对性差，最高0.5分。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售后及履约服务1.docx</w:t>
            </w:r>
          </w:p>
        </w:tc>
      </w:tr>
      <w:tr>
        <w:tc>
          <w:tcPr>
            <w:tcW w:type="dxa" w:w="831"/>
            <w:vMerge/>
          </w:tcPr>
          <w:p/>
        </w:tc>
        <w:tc>
          <w:tcPr>
            <w:tcW w:type="dxa" w:w="1661"/>
          </w:tcPr>
          <w:p>
            <w:pPr>
              <w:pStyle w:val="null3"/>
            </w:pPr>
            <w:r>
              <w:rPr>
                <w:rFonts w:ascii="仿宋_GB2312" w:hAnsi="仿宋_GB2312" w:cs="仿宋_GB2312" w:eastAsia="仿宋_GB2312"/>
              </w:rPr>
              <w:t>售后及履约服务2</w:t>
            </w:r>
          </w:p>
        </w:tc>
        <w:tc>
          <w:tcPr>
            <w:tcW w:type="dxa" w:w="2492"/>
          </w:tcPr>
          <w:p>
            <w:pPr>
              <w:pStyle w:val="null3"/>
            </w:pPr>
            <w:r>
              <w:rPr>
                <w:rFonts w:ascii="仿宋_GB2312" w:hAnsi="仿宋_GB2312" w:cs="仿宋_GB2312" w:eastAsia="仿宋_GB2312"/>
              </w:rPr>
              <w:t>15分钟≤整机MTTR≤20分钟，得1分； 10分钟≤整机MTTR＜15分钟，得2分； 整机MTTR＜10分钟，得3分； 注：①整机故障排除时间（MTTR）不得高于20分钟，否则不得分②需提供整机通过测试的检测报告。</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售后及履约服务2.docx</w:t>
            </w:r>
          </w:p>
        </w:tc>
      </w:tr>
      <w:tr>
        <w:tc>
          <w:tcPr>
            <w:tcW w:type="dxa" w:w="831"/>
            <w:vMerge/>
          </w:tcPr>
          <w:p/>
        </w:tc>
        <w:tc>
          <w:tcPr>
            <w:tcW w:type="dxa" w:w="1661"/>
          </w:tcPr>
          <w:p>
            <w:pPr>
              <w:pStyle w:val="null3"/>
            </w:pPr>
            <w:r>
              <w:rPr>
                <w:rFonts w:ascii="仿宋_GB2312" w:hAnsi="仿宋_GB2312" w:cs="仿宋_GB2312" w:eastAsia="仿宋_GB2312"/>
              </w:rPr>
              <w:t>售后及履约服务3</w:t>
            </w:r>
          </w:p>
        </w:tc>
        <w:tc>
          <w:tcPr>
            <w:tcW w:type="dxa" w:w="2492"/>
          </w:tcPr>
          <w:p>
            <w:pPr>
              <w:pStyle w:val="null3"/>
            </w:pPr>
            <w:r>
              <w:rPr>
                <w:rFonts w:ascii="仿宋_GB2312" w:hAnsi="仿宋_GB2312" w:cs="仿宋_GB2312" w:eastAsia="仿宋_GB2312"/>
              </w:rPr>
              <w:t>1.提供质保期内可持续供应所需零部件和保证设备正常维修的书面承诺，计1分，未提供不得分。 2.根据提供配件价格的合理性，计[2-0]分。注：需提供配件品目及费用清单，未提供不得分。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售后及履约服务3.docx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对所投设备有完善的、可执行的技术培训方案（方案中需包含设备投入网点运行前对全省技术员的培训计划、方案、费用等），根据所供方案的可行性、详细性计[2-0]分，未提供不得分，内容空洞，或内容前后重复、堆砌，或属于照搬照抄针对性差，最高0.5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投标人需结合自身实力和经验提供应急预案方案，方案包括但不限于：①突发情况预测②处理措施等。 应急预案全面，应对措施具体详细，响应迅速，根据响应程度、详细性、可行性的得［2-0]分，未提供不得分，内容空洞，或内容前后重复、堆砌，或属于照搬照抄针对性差，最高0.5分。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投标产品（整机）具有国家确定的认证机构出具的、处于有效期内的中国节能产品认证证书、中国环境标志产品认证证书的，每1个得0.5分，最高1分。注：需提供有效期内的节能环保标志产品认证证书复印件。</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节能、环境标志产品.docx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投标人每提供1份2022年1月1日至今彩票销售终端机供货业绩得1分，最高5分。注：①业绩以合同为准，时间以合同签订时间为准。②需提供完整合同复印件。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业绩情况表.docx</w:t>
            </w:r>
          </w:p>
        </w:tc>
      </w:tr>
      <w:tr>
        <w:tc>
          <w:tcPr>
            <w:tcW w:type="dxa" w:w="831"/>
            <w:vMerge/>
          </w:tcPr>
          <w:p/>
        </w:tc>
        <w:tc>
          <w:tcPr>
            <w:tcW w:type="dxa" w:w="1661"/>
          </w:tcPr>
          <w:p>
            <w:pPr>
              <w:pStyle w:val="null3"/>
            </w:pPr>
            <w:r>
              <w:rPr>
                <w:rFonts w:ascii="仿宋_GB2312" w:hAnsi="仿宋_GB2312" w:cs="仿宋_GB2312" w:eastAsia="仿宋_GB2312"/>
              </w:rPr>
              <w:t>样机及演示</w:t>
            </w:r>
          </w:p>
        </w:tc>
        <w:tc>
          <w:tcPr>
            <w:tcW w:type="dxa" w:w="2492"/>
          </w:tcPr>
          <w:p>
            <w:pPr>
              <w:pStyle w:val="null3"/>
            </w:pPr>
            <w:r>
              <w:rPr>
                <w:rFonts w:ascii="仿宋_GB2312" w:hAnsi="仿宋_GB2312" w:cs="仿宋_GB2312" w:eastAsia="仿宋_GB2312"/>
              </w:rPr>
              <w:t>本项目要求投标人提供包装完好的样机1台。投标人自行搭建演示环境，现场仅提供电源。演示测试时间不超过15分钟（含设备接驳时间）。未提供样机的，本项（12分）不得分，但不按无效投标处理。 1.功能：依据使用功能的完备程度，操作界面友好便捷程度，计[3-0）分。 2.材质及外观：根据投标人所提供的样机材质、外观新颖程度以及人体工程学的符合程度，计[3-0）分。 3.制造工艺：根据整机制造工艺精度，以及整机或主要部件是否具有防火、防水、防尘、防静电等性能，计[3-0）分。 4.票样质量：根据出票测试流畅程度、清晰度等计[3-0）分。注：样机连续两次出票不流畅（如出现卡顿、断纸等），或样票不清晰，则该项（12分）不得分。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样品及演示.docx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最低的投标报价为评标基准价，其价格分为满分。其他投标人的价格分统一按照下列公式计算：价格分=(评标基准价／投标报价)×报价分值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产品功能</w:t>
            </w:r>
          </w:p>
        </w:tc>
        <w:tc>
          <w:tcPr>
            <w:tcW w:type="dxa" w:w="2492"/>
          </w:tcPr>
          <w:p>
            <w:pPr>
              <w:pStyle w:val="null3"/>
            </w:pPr>
            <w:r>
              <w:rPr>
                <w:rFonts w:ascii="仿宋_GB2312" w:hAnsi="仿宋_GB2312" w:cs="仿宋_GB2312" w:eastAsia="仿宋_GB2312"/>
              </w:rPr>
              <w:t>投标产品功能完全满足招标文件3.3条中主要参数要求的计31分，每有一项功能不满足扣2分，扣完为止。 注：投标人需提供产品技术参数佐证材料，佐证材料不限于产品说明书、技术手册、制造商公开发行的宣传册/页、制造商官网的产品技术参数截图、第三方的检测报告等，未提供或不能显示指标的参数视为负偏离。</w:t>
            </w:r>
          </w:p>
        </w:tc>
        <w:tc>
          <w:tcPr>
            <w:tcW w:type="dxa" w:w="831"/>
          </w:tcPr>
          <w:p>
            <w:pPr>
              <w:pStyle w:val="null3"/>
              <w:jc w:val="right"/>
            </w:pPr>
            <w:r>
              <w:rPr>
                <w:rFonts w:ascii="仿宋_GB2312" w:hAnsi="仿宋_GB2312" w:cs="仿宋_GB2312" w:eastAsia="仿宋_GB2312"/>
              </w:rPr>
              <w:t>31.0000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投标产品技术参数明细表.docx</w:t>
            </w:r>
          </w:p>
          <w:p>
            <w:pPr>
              <w:pStyle w:val="null3"/>
            </w:pPr>
            <w:r>
              <w:rPr>
                <w:rFonts w:ascii="仿宋_GB2312" w:hAnsi="仿宋_GB2312" w:cs="仿宋_GB2312" w:eastAsia="仿宋_GB2312"/>
              </w:rPr>
              <w:t>投标产品技术指标偏离表.docx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投标人需结合自身实力和经验提供供货实施方案，方案包括但不限于：①生产备货组织②人力资金保障③运输保障④配送安装调试⑤验收等。 1.生产备货计划详细，时间节点具体，便于采购人监督核查。根据响应程度、详细程度、可行性得［1-0]分。 2.各环节人力投入具体，责任清晰，资金调配保障可靠，能较好的保证项目实施，便于采购人监督核查。根据响应程度、详细程度、可行性得［1-0]分。 3.运输方案全面、详细，安全保障措施具体。根据响应程度、详细程度、可行性得［2-0]分。 4.配送安装计划详细，组织有序，链条完整，措施规范。根据响应程度、详细程度、可行性得［2-0]分。 5.验收资料完整，验收组织计划充分。根据响应程度、详细程度、可行性得［2-0]分。 注：①以上各项如未提供或内容可行性差或与项目不符，对应项不得分。②内容空洞，或内容前后重复、堆砌，或属于照搬照抄针对性差，对应项最高0.5分。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售后及履约服务1</w:t>
            </w:r>
          </w:p>
        </w:tc>
        <w:tc>
          <w:tcPr>
            <w:tcW w:type="dxa" w:w="2492"/>
          </w:tcPr>
          <w:p>
            <w:pPr>
              <w:pStyle w:val="null3"/>
            </w:pPr>
            <w:r>
              <w:rPr>
                <w:rFonts w:ascii="仿宋_GB2312" w:hAnsi="仿宋_GB2312" w:cs="仿宋_GB2312" w:eastAsia="仿宋_GB2312"/>
              </w:rPr>
              <w:t>根据投标人提供的售后服务方案对采购需求的响应程度计[3-0]分，未提供不得分，内容空洞，或内容前后重复、堆砌，或属于照搬照抄针对性差，最高0.5分。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售后及履约服务1.docx</w:t>
            </w:r>
          </w:p>
        </w:tc>
      </w:tr>
      <w:tr>
        <w:tc>
          <w:tcPr>
            <w:tcW w:type="dxa" w:w="831"/>
            <w:vMerge/>
          </w:tcPr>
          <w:p/>
        </w:tc>
        <w:tc>
          <w:tcPr>
            <w:tcW w:type="dxa" w:w="1661"/>
          </w:tcPr>
          <w:p>
            <w:pPr>
              <w:pStyle w:val="null3"/>
            </w:pPr>
            <w:r>
              <w:rPr>
                <w:rFonts w:ascii="仿宋_GB2312" w:hAnsi="仿宋_GB2312" w:cs="仿宋_GB2312" w:eastAsia="仿宋_GB2312"/>
              </w:rPr>
              <w:t>售后及履约服务2</w:t>
            </w:r>
          </w:p>
        </w:tc>
        <w:tc>
          <w:tcPr>
            <w:tcW w:type="dxa" w:w="2492"/>
          </w:tcPr>
          <w:p>
            <w:pPr>
              <w:pStyle w:val="null3"/>
            </w:pPr>
            <w:r>
              <w:rPr>
                <w:rFonts w:ascii="仿宋_GB2312" w:hAnsi="仿宋_GB2312" w:cs="仿宋_GB2312" w:eastAsia="仿宋_GB2312"/>
              </w:rPr>
              <w:t>15分钟≤整机MTTR≤20分钟，得1分； 10分钟≤整机MTTR＜15分钟，得2分； 整机MTTR＜10分钟，得3分； 注：①整机故障排除时间（MTTR）不得高于20分钟，否则不得分②需提供整机通过测试的检测报告。</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售后及履约服务2.docx</w:t>
            </w:r>
          </w:p>
        </w:tc>
      </w:tr>
      <w:tr>
        <w:tc>
          <w:tcPr>
            <w:tcW w:type="dxa" w:w="831"/>
            <w:vMerge/>
          </w:tcPr>
          <w:p/>
        </w:tc>
        <w:tc>
          <w:tcPr>
            <w:tcW w:type="dxa" w:w="1661"/>
          </w:tcPr>
          <w:p>
            <w:pPr>
              <w:pStyle w:val="null3"/>
            </w:pPr>
            <w:r>
              <w:rPr>
                <w:rFonts w:ascii="仿宋_GB2312" w:hAnsi="仿宋_GB2312" w:cs="仿宋_GB2312" w:eastAsia="仿宋_GB2312"/>
              </w:rPr>
              <w:t>售后及履约服务3</w:t>
            </w:r>
          </w:p>
        </w:tc>
        <w:tc>
          <w:tcPr>
            <w:tcW w:type="dxa" w:w="2492"/>
          </w:tcPr>
          <w:p>
            <w:pPr>
              <w:pStyle w:val="null3"/>
            </w:pPr>
            <w:r>
              <w:rPr>
                <w:rFonts w:ascii="仿宋_GB2312" w:hAnsi="仿宋_GB2312" w:cs="仿宋_GB2312" w:eastAsia="仿宋_GB2312"/>
              </w:rPr>
              <w:t>1.提供质保期内可持续供应所需零部件和保证设备正常维修的书面承诺，计1分，未提供不得分。 2.根据提供配件价格的合理性，计[2-0]分。注：需提供配件品目及费用清单，未提供不得分。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售后及履约服务3.docx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对所投设备有完善的、可执行的技术培训方案（方案中需包含设备投入网点运行前对全省技术员的培训计划、方案、费用等），根据所供方案的可行性、详细性计[2-0]分，未提供不得分，内容空洞，或内容前后重复、堆砌，或属于照搬照抄针对性差，最高0.5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投标人需结合自身实力和经验提供应急预案方案，方案包括但不限于：①突发情况预测②处理措施等。 应急预案全面，应对措施具体详细，响应迅速，根据响应程度、详细性、可行性的得［2-0]分，未提供不得分，内容空洞，或内容前后重复、堆砌，或属于照搬照抄针对性差，最高0.5分。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投标产品（整机）具有国家确定的认证机构出具的、处于有效期内的中国节能产品认证证书、中国环境标志产品认证证书的，每1个得0.5分，最高1分。注：需提供有效期内的节能环保标志产品认证证书复印件。</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节能、环境标志产品.docx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投标人每提供1份2022年1月1日至今彩票销售终端机供货业绩得1分，最高5分。注：①业绩以合同为准，时间以合同签订时间为准。②需提供完整合同复印件。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业绩情况表.docx</w:t>
            </w:r>
          </w:p>
        </w:tc>
      </w:tr>
      <w:tr>
        <w:tc>
          <w:tcPr>
            <w:tcW w:type="dxa" w:w="831"/>
            <w:vMerge/>
          </w:tcPr>
          <w:p/>
        </w:tc>
        <w:tc>
          <w:tcPr>
            <w:tcW w:type="dxa" w:w="1661"/>
          </w:tcPr>
          <w:p>
            <w:pPr>
              <w:pStyle w:val="null3"/>
            </w:pPr>
            <w:r>
              <w:rPr>
                <w:rFonts w:ascii="仿宋_GB2312" w:hAnsi="仿宋_GB2312" w:cs="仿宋_GB2312" w:eastAsia="仿宋_GB2312"/>
              </w:rPr>
              <w:t>样机及演示</w:t>
            </w:r>
          </w:p>
        </w:tc>
        <w:tc>
          <w:tcPr>
            <w:tcW w:type="dxa" w:w="2492"/>
          </w:tcPr>
          <w:p>
            <w:pPr>
              <w:pStyle w:val="null3"/>
            </w:pPr>
            <w:r>
              <w:rPr>
                <w:rFonts w:ascii="仿宋_GB2312" w:hAnsi="仿宋_GB2312" w:cs="仿宋_GB2312" w:eastAsia="仿宋_GB2312"/>
              </w:rPr>
              <w:t>本项目要求投标人提供包装完好的样机1台。投标人自行搭建演示环境，现场仅提供电源。演示测试时间不超过15分钟（含设备接驳时间）。未提供样机的，本项（12分）不得分，但不按无效投标处理。 1.功能：依据使用功能的完备程度，操作界面友好便捷程度，计[3-0）分。 2.材质及外观：根据投标人所提供的样机材质、外观新颖程度以及人体工程学的符合程度，计[3-0）分。 3.制造工艺：根据整机制造工艺精度，以及整机或主要部件是否具有防火、防水、防尘、防静电等性能，计[3-0）分。 4.票样质量：根据出票测试流畅程度、清晰度等计[3-0）分。注：样机连续两次出票不流畅（如出现卡顿、断纸等），或样票不清晰，则该项（12分）不得分。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样品及演示.docx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最低的投标报价为评标基准价，其价格分为满分。其他投标人的价格分统一按照下列公式计算：价格分=(评标基准价／投标报价)×报价分值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详见附件：财务状况证明.docx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详见附件：履约能力证明.docx</w:t>
      </w:r>
    </w:p>
    <w:p>
      <w:pPr>
        <w:pStyle w:val="null3"/>
        <w:ind w:firstLine="960"/>
      </w:pPr>
      <w:r>
        <w:rPr>
          <w:rFonts w:ascii="仿宋_GB2312" w:hAnsi="仿宋_GB2312" w:cs="仿宋_GB2312" w:eastAsia="仿宋_GB2312"/>
        </w:rPr>
        <w:t>详见附件：纳税证明.docx</w:t>
      </w:r>
    </w:p>
    <w:p>
      <w:pPr>
        <w:pStyle w:val="null3"/>
        <w:ind w:firstLine="960"/>
      </w:pPr>
      <w:r>
        <w:rPr>
          <w:rFonts w:ascii="仿宋_GB2312" w:hAnsi="仿宋_GB2312" w:cs="仿宋_GB2312" w:eastAsia="仿宋_GB2312"/>
        </w:rPr>
        <w:t>详见附件：社会保障资金缴纳证明.docx</w:t>
      </w:r>
    </w:p>
    <w:p>
      <w:pPr>
        <w:pStyle w:val="null3"/>
        <w:ind w:firstLine="960"/>
      </w:pPr>
      <w:r>
        <w:rPr>
          <w:rFonts w:ascii="仿宋_GB2312" w:hAnsi="仿宋_GB2312" w:cs="仿宋_GB2312" w:eastAsia="仿宋_GB2312"/>
        </w:rPr>
        <w:t>详见附件：信用声明.docx</w:t>
      </w:r>
    </w:p>
    <w:p>
      <w:pPr>
        <w:pStyle w:val="null3"/>
        <w:ind w:firstLine="960"/>
      </w:pPr>
      <w:r>
        <w:rPr>
          <w:rFonts w:ascii="仿宋_GB2312" w:hAnsi="仿宋_GB2312" w:cs="仿宋_GB2312" w:eastAsia="仿宋_GB2312"/>
        </w:rPr>
        <w:t>详见附件：注册证照.docx</w:t>
      </w:r>
    </w:p>
    <w:p>
      <w:pPr>
        <w:pStyle w:val="null3"/>
        <w:ind w:firstLine="960"/>
      </w:pPr>
      <w:r>
        <w:rPr>
          <w:rFonts w:ascii="仿宋_GB2312" w:hAnsi="仿宋_GB2312" w:cs="仿宋_GB2312" w:eastAsia="仿宋_GB2312"/>
        </w:rPr>
        <w:t>详见附件：节能、环境标志产品.docx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详见附件：售后及履约服务1.docx</w:t>
      </w:r>
    </w:p>
    <w:p>
      <w:pPr>
        <w:pStyle w:val="null3"/>
        <w:ind w:firstLine="960"/>
      </w:pPr>
      <w:r>
        <w:rPr>
          <w:rFonts w:ascii="仿宋_GB2312" w:hAnsi="仿宋_GB2312" w:cs="仿宋_GB2312" w:eastAsia="仿宋_GB2312"/>
        </w:rPr>
        <w:t>详见附件：售后及履约服务2.docx</w:t>
      </w:r>
    </w:p>
    <w:p>
      <w:pPr>
        <w:pStyle w:val="null3"/>
        <w:ind w:firstLine="960"/>
      </w:pPr>
      <w:r>
        <w:rPr>
          <w:rFonts w:ascii="仿宋_GB2312" w:hAnsi="仿宋_GB2312" w:cs="仿宋_GB2312" w:eastAsia="仿宋_GB2312"/>
        </w:rPr>
        <w:t>详见附件：售后及履约服务3.docx</w:t>
      </w:r>
    </w:p>
    <w:p>
      <w:pPr>
        <w:pStyle w:val="null3"/>
        <w:ind w:firstLine="960"/>
      </w:pPr>
      <w:r>
        <w:rPr>
          <w:rFonts w:ascii="仿宋_GB2312" w:hAnsi="仿宋_GB2312" w:cs="仿宋_GB2312" w:eastAsia="仿宋_GB2312"/>
        </w:rPr>
        <w:t>详见附件：投标产品技术参数明细表.docx</w:t>
      </w:r>
    </w:p>
    <w:p>
      <w:pPr>
        <w:pStyle w:val="null3"/>
        <w:ind w:firstLine="960"/>
      </w:pPr>
      <w:r>
        <w:rPr>
          <w:rFonts w:ascii="仿宋_GB2312" w:hAnsi="仿宋_GB2312" w:cs="仿宋_GB2312" w:eastAsia="仿宋_GB2312"/>
        </w:rPr>
        <w:t>详见附件：投标产品技术指标偏离表.docx</w:t>
      </w:r>
    </w:p>
    <w:p>
      <w:pPr>
        <w:pStyle w:val="null3"/>
        <w:ind w:firstLine="960"/>
      </w:pPr>
      <w:r>
        <w:rPr>
          <w:rFonts w:ascii="仿宋_GB2312" w:hAnsi="仿宋_GB2312" w:cs="仿宋_GB2312" w:eastAsia="仿宋_GB2312"/>
        </w:rPr>
        <w:t>详见附件：投标产品明细表.docx</w:t>
      </w:r>
    </w:p>
    <w:p>
      <w:pPr>
        <w:pStyle w:val="null3"/>
        <w:ind w:firstLine="960"/>
      </w:pPr>
      <w:r>
        <w:rPr>
          <w:rFonts w:ascii="仿宋_GB2312" w:hAnsi="仿宋_GB2312" w:cs="仿宋_GB2312" w:eastAsia="仿宋_GB2312"/>
        </w:rPr>
        <w:t>详见附件：样品及演示.docx</w:t>
      </w:r>
    </w:p>
    <w:p>
      <w:pPr>
        <w:pStyle w:val="null3"/>
        <w:ind w:firstLine="960"/>
      </w:pPr>
      <w:r>
        <w:rPr>
          <w:rFonts w:ascii="仿宋_GB2312" w:hAnsi="仿宋_GB2312" w:cs="仿宋_GB2312" w:eastAsia="仿宋_GB2312"/>
        </w:rPr>
        <w:t>详见附件：业绩情况表.docx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详见附件：质保期.docx</w:t>
      </w:r>
    </w:p>
    <w:p>
      <w:pPr>
        <w:pStyle w:val="null3"/>
        <w:ind w:firstLine="960"/>
      </w:pPr>
      <w:r>
        <w:rPr>
          <w:rFonts w:ascii="仿宋_GB2312" w:hAnsi="仿宋_GB2312" w:cs="仿宋_GB2312" w:eastAsia="仿宋_GB2312"/>
        </w:rPr>
        <w:t>详见附件：主要商务条款响应偏离表.docx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详见附件：财务状况证明.docx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详见附件：履约能力证明.docx</w:t>
      </w:r>
    </w:p>
    <w:p>
      <w:pPr>
        <w:pStyle w:val="null3"/>
        <w:ind w:firstLine="960"/>
      </w:pPr>
      <w:r>
        <w:rPr>
          <w:rFonts w:ascii="仿宋_GB2312" w:hAnsi="仿宋_GB2312" w:cs="仿宋_GB2312" w:eastAsia="仿宋_GB2312"/>
        </w:rPr>
        <w:t>详见附件：纳税证明.docx</w:t>
      </w:r>
    </w:p>
    <w:p>
      <w:pPr>
        <w:pStyle w:val="null3"/>
        <w:ind w:firstLine="960"/>
      </w:pPr>
      <w:r>
        <w:rPr>
          <w:rFonts w:ascii="仿宋_GB2312" w:hAnsi="仿宋_GB2312" w:cs="仿宋_GB2312" w:eastAsia="仿宋_GB2312"/>
        </w:rPr>
        <w:t>详见附件：社会保障资金缴纳证明.docx</w:t>
      </w:r>
    </w:p>
    <w:p>
      <w:pPr>
        <w:pStyle w:val="null3"/>
        <w:ind w:firstLine="960"/>
      </w:pPr>
      <w:r>
        <w:rPr>
          <w:rFonts w:ascii="仿宋_GB2312" w:hAnsi="仿宋_GB2312" w:cs="仿宋_GB2312" w:eastAsia="仿宋_GB2312"/>
        </w:rPr>
        <w:t>详见附件：信用声明.docx</w:t>
      </w:r>
    </w:p>
    <w:p>
      <w:pPr>
        <w:pStyle w:val="null3"/>
        <w:ind w:firstLine="960"/>
      </w:pPr>
      <w:r>
        <w:rPr>
          <w:rFonts w:ascii="仿宋_GB2312" w:hAnsi="仿宋_GB2312" w:cs="仿宋_GB2312" w:eastAsia="仿宋_GB2312"/>
        </w:rPr>
        <w:t>详见附件：注册证照.docx</w:t>
      </w:r>
    </w:p>
    <w:p>
      <w:pPr>
        <w:pStyle w:val="null3"/>
        <w:ind w:firstLine="960"/>
      </w:pPr>
      <w:r>
        <w:rPr>
          <w:rFonts w:ascii="仿宋_GB2312" w:hAnsi="仿宋_GB2312" w:cs="仿宋_GB2312" w:eastAsia="仿宋_GB2312"/>
        </w:rPr>
        <w:t>详见附件：节能、环境标志产品.docx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详见附件：售后及履约服务1.docx</w:t>
      </w:r>
    </w:p>
    <w:p>
      <w:pPr>
        <w:pStyle w:val="null3"/>
        <w:ind w:firstLine="960"/>
      </w:pPr>
      <w:r>
        <w:rPr>
          <w:rFonts w:ascii="仿宋_GB2312" w:hAnsi="仿宋_GB2312" w:cs="仿宋_GB2312" w:eastAsia="仿宋_GB2312"/>
        </w:rPr>
        <w:t>详见附件：售后及履约服务2.docx</w:t>
      </w:r>
    </w:p>
    <w:p>
      <w:pPr>
        <w:pStyle w:val="null3"/>
        <w:ind w:firstLine="960"/>
      </w:pPr>
      <w:r>
        <w:rPr>
          <w:rFonts w:ascii="仿宋_GB2312" w:hAnsi="仿宋_GB2312" w:cs="仿宋_GB2312" w:eastAsia="仿宋_GB2312"/>
        </w:rPr>
        <w:t>详见附件：售后及履约服务3.docx</w:t>
      </w:r>
    </w:p>
    <w:p>
      <w:pPr>
        <w:pStyle w:val="null3"/>
        <w:ind w:firstLine="960"/>
      </w:pPr>
      <w:r>
        <w:rPr>
          <w:rFonts w:ascii="仿宋_GB2312" w:hAnsi="仿宋_GB2312" w:cs="仿宋_GB2312" w:eastAsia="仿宋_GB2312"/>
        </w:rPr>
        <w:t>详见附件：投标产品技术参数明细表.docx</w:t>
      </w:r>
    </w:p>
    <w:p>
      <w:pPr>
        <w:pStyle w:val="null3"/>
        <w:ind w:firstLine="960"/>
      </w:pPr>
      <w:r>
        <w:rPr>
          <w:rFonts w:ascii="仿宋_GB2312" w:hAnsi="仿宋_GB2312" w:cs="仿宋_GB2312" w:eastAsia="仿宋_GB2312"/>
        </w:rPr>
        <w:t>详见附件：投标产品技术指标偏离表.docx</w:t>
      </w:r>
    </w:p>
    <w:p>
      <w:pPr>
        <w:pStyle w:val="null3"/>
        <w:ind w:firstLine="960"/>
      </w:pPr>
      <w:r>
        <w:rPr>
          <w:rFonts w:ascii="仿宋_GB2312" w:hAnsi="仿宋_GB2312" w:cs="仿宋_GB2312" w:eastAsia="仿宋_GB2312"/>
        </w:rPr>
        <w:t>详见附件：投标产品明细表.docx</w:t>
      </w:r>
    </w:p>
    <w:p>
      <w:pPr>
        <w:pStyle w:val="null3"/>
        <w:ind w:firstLine="960"/>
      </w:pPr>
      <w:r>
        <w:rPr>
          <w:rFonts w:ascii="仿宋_GB2312" w:hAnsi="仿宋_GB2312" w:cs="仿宋_GB2312" w:eastAsia="仿宋_GB2312"/>
        </w:rPr>
        <w:t>详见附件：样品及演示.docx</w:t>
      </w:r>
    </w:p>
    <w:p>
      <w:pPr>
        <w:pStyle w:val="null3"/>
        <w:ind w:firstLine="960"/>
      </w:pPr>
      <w:r>
        <w:rPr>
          <w:rFonts w:ascii="仿宋_GB2312" w:hAnsi="仿宋_GB2312" w:cs="仿宋_GB2312" w:eastAsia="仿宋_GB2312"/>
        </w:rPr>
        <w:t>详见附件：业绩情况表.docx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详见附件：质保期.docx</w:t>
      </w:r>
    </w:p>
    <w:p>
      <w:pPr>
        <w:pStyle w:val="null3"/>
        <w:ind w:firstLine="960"/>
      </w:pPr>
      <w:r>
        <w:rPr>
          <w:rFonts w:ascii="仿宋_GB2312" w:hAnsi="仿宋_GB2312" w:cs="仿宋_GB2312" w:eastAsia="仿宋_GB2312"/>
        </w:rPr>
        <w:t>详见附件：主要商务条款响应偏离表.docx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