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版本号：HHGJZC2025-CS30020250429001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12315数据分析预警服务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HHGJZC2025-CS300</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12315数据分析预警服务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12315数据分析预警服务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12315数据分析预警服务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采购包1（12315数据分析预警服务）：属于专门面向小微企业采购。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采购包代理服务费不足6,000.00元的按照6,000.00元收取。成交供应商在领取中标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服务内容全部完成，经采购人确认合格，确定项目完成。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12315数据分析预警服务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534,600.00</w:t>
      </w:r>
    </w:p>
    <w:p>
      <w:pPr>
        <w:pStyle w:val="null3"/>
      </w:pPr>
      <w:r>
        <w:rPr>
          <w:rFonts w:ascii="仿宋_GB2312" w:hAnsi="仿宋_GB2312" w:cs="仿宋_GB2312" w:eastAsia="仿宋_GB2312"/>
        </w:rPr>
        <w:t>采购包最高限价（元）: 534,600.00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12315数据分析预警服务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标的名称：12315数据分析预警服务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15"/>
              </w:rPr>
              <w:t>一、实现AI数据分析处理。全方位归集12315投诉举报数据，将不规则的投诉举报文本数据，提取关键信息，修正原有数据，高效提高数据质量。</w:t>
            </w:r>
          </w:p>
          <w:p>
            <w:pPr>
              <w:pStyle w:val="null3"/>
              <w:ind w:firstLine="400"/>
              <w:jc w:val="both"/>
            </w:pPr>
            <w:r>
              <w:rPr>
                <w:rFonts w:ascii="仿宋_GB2312" w:hAnsi="仿宋_GB2312" w:cs="仿宋_GB2312" w:eastAsia="仿宋_GB2312"/>
                <w:sz w:val="15"/>
              </w:rPr>
              <w:t>二、实现投诉举报风险预警。建立完备的风险预警体系，协助市场监管部门及时发现新型事件、群体事件、异常事件、重点事件等。运用数据处理、大数据技术、自然语言处理技术等进行实时监测，智能挖掘潜在风险，协助监管部门及时处理和应对。</w:t>
            </w:r>
          </w:p>
          <w:p>
            <w:pPr>
              <w:pStyle w:val="null3"/>
              <w:ind w:firstLine="400"/>
              <w:jc w:val="both"/>
            </w:pPr>
            <w:r>
              <w:rPr>
                <w:rFonts w:ascii="仿宋_GB2312" w:hAnsi="仿宋_GB2312" w:cs="仿宋_GB2312" w:eastAsia="仿宋_GB2312"/>
                <w:sz w:val="15"/>
              </w:rPr>
              <w:t>三、多样化数据分析模式。采用可视化直观界面聚焦消费投诉趋势，着重分析职业索赔对整体诉求的影响，智能挖掘进行多维度数据分析。提高分析的准确性、完整性和高效性，为靶向监管、智慧监管提供支持服务。</w:t>
            </w:r>
          </w:p>
          <w:p>
            <w:pPr>
              <w:pStyle w:val="null3"/>
              <w:ind w:firstLine="400"/>
              <w:jc w:val="both"/>
            </w:pPr>
            <w:r>
              <w:rPr>
                <w:rFonts w:ascii="仿宋_GB2312" w:hAnsi="仿宋_GB2312" w:cs="仿宋_GB2312" w:eastAsia="仿宋_GB2312"/>
                <w:sz w:val="15"/>
              </w:rPr>
              <w:t>四、快速智能输出分析报告。总览全量数据的趋势走向，掌握核心问题脉络，快速输出预警分析报告。</w:t>
            </w:r>
          </w:p>
          <w:p>
            <w:pPr>
              <w:pStyle w:val="null3"/>
              <w:ind w:firstLine="400"/>
              <w:jc w:val="both"/>
            </w:pPr>
            <w:r>
              <w:rPr>
                <w:rFonts w:ascii="仿宋_GB2312" w:hAnsi="仿宋_GB2312" w:cs="仿宋_GB2312" w:eastAsia="仿宋_GB2312"/>
                <w:sz w:val="15"/>
              </w:rPr>
              <w:t>五、省市县各级都可依托使用。除省级用户之外，可授权地市级同步使用其系统，精准分析本地数据，掌握重点领域热点难点问题，针对性地强化监管措施。</w:t>
            </w:r>
          </w:p>
          <w:p>
            <w:pPr>
              <w:pStyle w:val="null3"/>
              <w:jc w:val="both"/>
            </w:pPr>
            <w:r>
              <w:rPr>
                <w:rFonts w:ascii="仿宋_GB2312" w:hAnsi="仿宋_GB2312" w:cs="仿宋_GB2312" w:eastAsia="仿宋_GB2312"/>
                <w:sz w:val="15"/>
              </w:rPr>
              <w:t xml:space="preserve">  充分发挥我局现有数据优势，运用“AI+”手段，深入挖掘12315数据的巨大潜能，积极助力全系统精准监管、协同监管、智慧监管。</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自服务开始之日起一年，服务期内提供免费运维工作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服务内容全部完成，经采购人确认合格，确定项目完成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服务内容全部完成，经采购人确认合格 ，达到付款条件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2.若项目有分项报价，各分项报价同最终磋商总报价同比例下浮。 3.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5.提供响应文件提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资格证明文件 中小企业声明函 残疾人福利性单位声明函 服务方案 标的清单 陕西省政府采购供应商拒绝政府采购领域商业贿赂承诺书 报价表 响应函 服务内容及服务要求和商务要求偏离表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资格证明文件 中小企业声明函 残疾人福利性单位声明函 服务方案 标的清单 陕西省政府采购供应商拒绝政府采购领域商业贿赂承诺书 响应函 服务内容及服务要求和商务要求偏离表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服务方案 标的清单 陕西省政府采购供应商拒绝政府采购领域商业贿赂承诺书 响应函 服务内容及服务要求和商务要求偏离表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服务内容及服务要求和商务要求偏离表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响应磋商文件合同条款且未附有采购人不能接受的附加条件</w:t>
            </w:r>
          </w:p>
        </w:tc>
        <w:tc>
          <w:tcPr>
            <w:tcW w:type="dxa" w:w="1661"/>
          </w:tcPr>
          <w:p>
            <w:pPr>
              <w:pStyle w:val="null3"/>
            </w:pPr>
            <w:r>
              <w:rPr>
                <w:rFonts w:ascii="仿宋_GB2312" w:hAnsi="仿宋_GB2312" w:cs="仿宋_GB2312" w:eastAsia="仿宋_GB2312"/>
              </w:rPr>
              <w:t>响应文件封面 资格证明文件 中小企业声明函 残疾人福利性单位声明函 服务方案 标的清单 陕西省政府采购供应商拒绝政府采购领域商业贿赂承诺书 响应函 服务内容及服务要求和商务要求偏离表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资格证明文件 中小企业声明函 残疾人福利性单位声明函 服务方案 标的清单 陕西省政府采购供应商拒绝政府采购领域商业贿赂承诺书 报价表 响应函 服务内容及服务要求和商务要求偏离表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评审内容：①整体服务内容的理解；②整体服务方案的合理性；③满足服务要求的相关措施；④服务目标可量化指标。 评审标准：以上内容专门针对本项目且阐述明确、详细、全面、合理得20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AI数据分析处理方案</w:t>
            </w:r>
          </w:p>
        </w:tc>
        <w:tc>
          <w:tcPr>
            <w:tcW w:type="dxa" w:w="2492"/>
          </w:tcPr>
          <w:p>
            <w:pPr>
              <w:pStyle w:val="null3"/>
            </w:pPr>
            <w:r>
              <w:rPr>
                <w:rFonts w:ascii="仿宋_GB2312" w:hAnsi="仿宋_GB2312" w:cs="仿宋_GB2312" w:eastAsia="仿宋_GB2312"/>
              </w:rPr>
              <w:t>评审内容：①AI算法建设方案；②数据分析处理方案；③AI数据分析处理可量化指标。评审标准：以上内容专门针对本项目且阐述明确、详细、全面、合理得15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投诉举报风险预警方案</w:t>
            </w:r>
          </w:p>
        </w:tc>
        <w:tc>
          <w:tcPr>
            <w:tcW w:type="dxa" w:w="2492"/>
          </w:tcPr>
          <w:p>
            <w:pPr>
              <w:pStyle w:val="null3"/>
            </w:pPr>
            <w:r>
              <w:rPr>
                <w:rFonts w:ascii="仿宋_GB2312" w:hAnsi="仿宋_GB2312" w:cs="仿宋_GB2312" w:eastAsia="仿宋_GB2312"/>
              </w:rPr>
              <w:t>评审内容：①投诉举报常规预警方案；②投诉举报智慧化的创新性预警方案；③风险预警信息可量化指标。评审标准：以上内容专门针对本项目且阐述明确、详细、全面、合理得15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多样化数据分析方案</w:t>
            </w:r>
          </w:p>
        </w:tc>
        <w:tc>
          <w:tcPr>
            <w:tcW w:type="dxa" w:w="2492"/>
          </w:tcPr>
          <w:p>
            <w:pPr>
              <w:pStyle w:val="null3"/>
            </w:pPr>
            <w:r>
              <w:rPr>
                <w:rFonts w:ascii="仿宋_GB2312" w:hAnsi="仿宋_GB2312" w:cs="仿宋_GB2312" w:eastAsia="仿宋_GB2312"/>
              </w:rPr>
              <w:t>评审内容：①投诉举报数据可视化分析方案；②投诉举报中职业索赔分析方案；③投诉举报数据多维度分析方案。评审标准：以上内容专门针对本项目且阐述明确、详细、全面、合理得15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①运维团队配备②运维设备配备③运维制度④故障处理机制⑤平台运维方案。评审标准：以上内容专门针对本项目且阐述明确、详细、全面、合理得10分，评审内容缺一项扣2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④团队管理制度建设方案；⑤团队管理奖惩方案。评审标准：机构设置合理、团队人员职责划分明确、分工合理、团队配置满足项目需要，人员经验丰富，专业能力能有效保障项目服务质量，内容描述详细，架构清晰的得15分。评审内容每缺一项扣3分；评审内容有缺陷（缺陷是指：内容粗略、组织结构设置不合理、人员配置不合理、职责划分不明确、人员经验不足、与项目特点不匹配、或只有标题没有实质性内容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详见附件：服务内容及服务要求和商务要求偏离表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