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版本号：TWZB2025-06420250428001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第九届丝博会省工信厅展区布展搭建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TWZB2025-064</w:t>
      </w:r>
      <w:r>
        <w:br/>
      </w:r>
      <w:r>
        <w:br/>
      </w:r>
      <w:r>
        <w:br/>
      </w:r>
    </w:p>
    <w:p>
      <w:pPr>
        <w:pStyle w:val="null3"/>
        <w:jc w:val="center"/>
        <w:outlineLvl w:val="2"/>
      </w:pPr>
      <w:r>
        <w:rPr>
          <w:rFonts w:ascii="仿宋_GB2312" w:hAnsi="仿宋_GB2312" w:cs="仿宋_GB2312" w:eastAsia="仿宋_GB2312"/>
          <w:sz w:val="28"/>
          <w:b/>
        </w:rPr>
        <w:t>陕西省工业和信息化厅机关</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陕西省工业和信息化厅机关</w:t>
      </w:r>
      <w:r>
        <w:rPr>
          <w:rFonts w:ascii="仿宋_GB2312" w:hAnsi="仿宋_GB2312" w:cs="仿宋_GB2312" w:eastAsia="仿宋_GB2312"/>
        </w:rPr>
        <w:t>委托，拟对</w:t>
      </w:r>
      <w:r>
        <w:rPr>
          <w:rFonts w:ascii="仿宋_GB2312" w:hAnsi="仿宋_GB2312" w:cs="仿宋_GB2312" w:eastAsia="仿宋_GB2312"/>
        </w:rPr>
        <w:t>第九届丝博会省工信厅展区布展搭建</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TWZB2025-064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第九届丝博会省工信厅展区布展搭建</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协助组织25-30户我省“专精特新”企业参展，突出对新技术新装备新工艺新产品的展览展示。运用现代化展览展示手段，采用图文、视频、动画、模型、实物、场景等方式，多行业、多角度、多层次进行展览展示，增强信息化、智能化、互动化、趣味化展览展示效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采购包1（第九届丝博会省工信厅展区布展搭建）：属于专门面向中小企业采购。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2、法定代表人授权书及被授权人身份证：法定代表人授权书及被授权人身份证（法定代表人直接参与，须提供法定代表人身份证明）</w:t>
      </w:r>
    </w:p>
    <w:p>
      <w:pPr>
        <w:pStyle w:val="null3"/>
      </w:pPr>
      <w:r>
        <w:rPr>
          <w:rFonts w:ascii="仿宋_GB2312" w:hAnsi="仿宋_GB2312" w:cs="仿宋_GB2312" w:eastAsia="仿宋_GB2312"/>
        </w:rPr>
        <w:t>3、重大违法记录的声明：供应商在近三年经营活动中没有重大违法记录的声明</w:t>
      </w:r>
    </w:p>
    <w:p>
      <w:pPr>
        <w:pStyle w:val="null3"/>
      </w:pPr>
      <w:r>
        <w:rPr>
          <w:rFonts w:ascii="仿宋_GB2312" w:hAnsi="仿宋_GB2312" w:cs="仿宋_GB2312" w:eastAsia="仿宋_GB2312"/>
        </w:rPr>
        <w:t>4、说明及承诺：具备履行合同所必须的设备和专业技术能力的说明及承诺</w:t>
      </w:r>
    </w:p>
    <w:p>
      <w:pPr>
        <w:pStyle w:val="null3"/>
      </w:pPr>
      <w:r>
        <w:rPr>
          <w:rFonts w:ascii="仿宋_GB2312" w:hAnsi="仿宋_GB2312" w:cs="仿宋_GB2312" w:eastAsia="仿宋_GB2312"/>
        </w:rPr>
        <w:t>5、财务状况报告：财务状况报告：供应商提供2023年度或2024年度经会计事务所或审计机构审计的完整的财务审计报告（成立时间至提供磋商响应文件截止时间不足一年的可提供成立后任意时段的资产负债表）或在磋商截止时间前六个月内其开户银行出具的资信证明</w:t>
      </w:r>
    </w:p>
    <w:p>
      <w:pPr>
        <w:pStyle w:val="null3"/>
      </w:pPr>
      <w:r>
        <w:rPr>
          <w:rFonts w:ascii="仿宋_GB2312" w:hAnsi="仿宋_GB2312" w:cs="仿宋_GB2312" w:eastAsia="仿宋_GB2312"/>
        </w:rPr>
        <w:t>6、税收缴纳证明：税收缴纳证明：供应商提供已缴纳的2024年4月至今至少一个月的纳税证明或完税证明（任意税种）；依法免税的供应商应提供相关文件证明；供应商为零申报企业提供证明材料</w:t>
      </w:r>
    </w:p>
    <w:p>
      <w:pPr>
        <w:pStyle w:val="null3"/>
      </w:pPr>
      <w:r>
        <w:rPr>
          <w:rFonts w:ascii="仿宋_GB2312" w:hAnsi="仿宋_GB2312" w:cs="仿宋_GB2312" w:eastAsia="仿宋_GB2312"/>
        </w:rPr>
        <w:t>7、社会保障资金缴纳证明：社会保障资金缴纳证明：供应商提供已缴纳的2024年4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rFonts w:ascii="仿宋_GB2312" w:hAnsi="仿宋_GB2312" w:cs="仿宋_GB2312" w:eastAsia="仿宋_GB2312"/>
        </w:rPr>
        <w:t>9、磋商保证金：磋商保证金交纳凭证及开户许可证或基本账户存款信息</w:t>
      </w:r>
    </w:p>
    <w:p>
      <w:pPr>
        <w:pStyle w:val="null3"/>
      </w:pPr>
      <w:r>
        <w:rPr>
          <w:rFonts w:ascii="仿宋_GB2312" w:hAnsi="仿宋_GB2312" w:cs="仿宋_GB2312" w:eastAsia="仿宋_GB2312"/>
        </w:rPr>
        <w:t>10、非联合体承诺书：本项目不接受联合体磋商（提供非联合体承诺书）</w:t>
      </w:r>
    </w:p>
    <w:p>
      <w:pPr>
        <w:pStyle w:val="null3"/>
      </w:pPr>
      <w:r>
        <w:rPr>
          <w:rFonts w:ascii="仿宋_GB2312" w:hAnsi="仿宋_GB2312" w:cs="仿宋_GB2312" w:eastAsia="仿宋_GB2312"/>
        </w:rPr>
        <w:t>11、中小企业声明函：本项目专门面向中小企业采购，仅限符合《政府采购促进中小企业发展管理办法》（财库〔2020〕46 号）条件的中小企业参与，供应商应填写中小企业声明函并对真实性负责</w:t>
      </w:r>
    </w:p>
    <w:p>
      <w:pPr>
        <w:pStyle w:val="null3"/>
      </w:pPr>
      <w:r>
        <w:rPr>
          <w:rFonts w:ascii="仿宋_GB2312" w:hAnsi="仿宋_GB2312" w:cs="仿宋_GB2312" w:eastAsia="仿宋_GB2312"/>
        </w:rPr>
        <w:t>12、供应商企业关系关联承诺书：单位负责人为同一人或者存在直接控股、管理关系的不同供应商，不得参加同一合同项下的政府采购活动（提供供应商企业关系关联承诺书）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陕西省工业和信息化厅机关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省政府前大楼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029-63915564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代理服务费收费标准：成交服务费依据《国家发改委文件发改价格[2011]534号文件》及《国家计委价格[2002]1980号文件》规定标准下浮 10%，(若服务费按承诺收费标准计算不足3000元按3000元计取)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陕西省工业和信息化厅机关</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陕西省工业和信息化厅机关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陕西省工业和信息化厅机关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满足竞争性磋商文件和采购人规范标准要求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协助组织25-30户我省“专精特新”企业参展，突出对新技术新装备新工艺新产品的展览展示。运用现代化展览展示手段，采用图文、视频、动画、模型、实物、场景等方式，多行业、多角度、多层次进行展览展示，增强信息化、智能化、互动化、趣味化展览展示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第九届丝博会省工信厅展区布展搭建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标的名称：第九届丝博会省工信厅展区布展搭建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项目内容：第九届丝博会省工信厅展区布展搭建。</w:t>
            </w:r>
          </w:p>
          <w:p>
            <w:pPr>
              <w:pStyle w:val="null3"/>
              <w:ind w:firstLine="480"/>
              <w:jc w:val="both"/>
            </w:pPr>
            <w:r>
              <w:rPr>
                <w:rFonts w:ascii="仿宋_GB2312" w:hAnsi="仿宋_GB2312" w:cs="仿宋_GB2312" w:eastAsia="仿宋_GB2312"/>
                <w:sz w:val="24"/>
              </w:rPr>
              <w:t>1、项目地点：西安国际会展中心4号馆（科技创新展）。</w:t>
            </w:r>
          </w:p>
          <w:p>
            <w:pPr>
              <w:pStyle w:val="null3"/>
              <w:ind w:firstLine="480"/>
              <w:jc w:val="both"/>
            </w:pPr>
            <w:r>
              <w:rPr>
                <w:rFonts w:ascii="仿宋_GB2312" w:hAnsi="仿宋_GB2312" w:cs="仿宋_GB2312" w:eastAsia="仿宋_GB2312"/>
                <w:sz w:val="24"/>
              </w:rPr>
              <w:t>2、项目展期：2025年5月20-24日。</w:t>
            </w:r>
          </w:p>
          <w:p>
            <w:pPr>
              <w:pStyle w:val="null3"/>
              <w:ind w:firstLine="480"/>
              <w:jc w:val="both"/>
            </w:pPr>
            <w:r>
              <w:rPr>
                <w:rFonts w:ascii="仿宋_GB2312" w:hAnsi="仿宋_GB2312" w:cs="仿宋_GB2312" w:eastAsia="仿宋_GB2312"/>
                <w:sz w:val="24"/>
              </w:rPr>
              <w:t xml:space="preserve">3、展位面积：500平方米左右（具体展位待定）。  </w:t>
            </w:r>
          </w:p>
          <w:p>
            <w:pPr>
              <w:pStyle w:val="null3"/>
              <w:ind w:firstLine="480"/>
              <w:jc w:val="both"/>
            </w:pPr>
            <w:r>
              <w:rPr>
                <w:rFonts w:ascii="仿宋_GB2312" w:hAnsi="仿宋_GB2312" w:cs="仿宋_GB2312" w:eastAsia="仿宋_GB2312"/>
                <w:sz w:val="24"/>
              </w:rPr>
              <w:t>4、布展、撤展时间：根据组委会要求。</w:t>
            </w:r>
          </w:p>
          <w:p>
            <w:pPr>
              <w:pStyle w:val="null3"/>
              <w:ind w:firstLine="482"/>
              <w:jc w:val="both"/>
            </w:pPr>
            <w:r>
              <w:rPr>
                <w:rFonts w:ascii="仿宋_GB2312" w:hAnsi="仿宋_GB2312" w:cs="仿宋_GB2312" w:eastAsia="仿宋_GB2312"/>
                <w:sz w:val="28"/>
                <w:b/>
              </w:rPr>
              <w:t xml:space="preserve"> </w:t>
            </w: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项目要求：</w:t>
            </w:r>
          </w:p>
          <w:p>
            <w:pPr>
              <w:pStyle w:val="null3"/>
              <w:ind w:firstLine="480"/>
              <w:jc w:val="both"/>
            </w:pPr>
            <w:r>
              <w:rPr>
                <w:rFonts w:ascii="仿宋_GB2312" w:hAnsi="仿宋_GB2312" w:cs="仿宋_GB2312" w:eastAsia="仿宋_GB2312"/>
                <w:sz w:val="24"/>
              </w:rPr>
              <w:t>协助组织</w:t>
            </w:r>
            <w:r>
              <w:rPr>
                <w:rFonts w:ascii="仿宋_GB2312" w:hAnsi="仿宋_GB2312" w:cs="仿宋_GB2312" w:eastAsia="仿宋_GB2312"/>
                <w:sz w:val="24"/>
              </w:rPr>
              <w:t>25-30户我省“专精特新”企业参展，突出对新技术新装备新工艺新产品的展览展示。运用现代化展览展示手段，采用图文、视频、动画、模型、实物、场景等方式，多行业、多角度、多层次进行展览展示，增强信息化、智能化、互动化、趣味化展览展示效果。</w:t>
            </w:r>
          </w:p>
          <w:p>
            <w:pPr>
              <w:pStyle w:val="null3"/>
              <w:ind w:firstLine="480"/>
              <w:jc w:val="both"/>
            </w:pPr>
            <w:r>
              <w:rPr>
                <w:rFonts w:ascii="仿宋_GB2312" w:hAnsi="仿宋_GB2312" w:cs="仿宋_GB2312" w:eastAsia="仿宋_GB2312"/>
                <w:sz w:val="24"/>
              </w:rPr>
              <w:t>1、负责省工信厅展区总体展示布局的设计、展示区域划分工作；负责与执委会区域协调工作，协助省工信厅展区的招展组展工作；</w:t>
            </w:r>
          </w:p>
          <w:p>
            <w:pPr>
              <w:pStyle w:val="null3"/>
              <w:ind w:firstLine="480"/>
              <w:jc w:val="both"/>
            </w:pPr>
            <w:r>
              <w:rPr>
                <w:rFonts w:ascii="仿宋_GB2312" w:hAnsi="仿宋_GB2312" w:cs="仿宋_GB2312" w:eastAsia="仿宋_GB2312"/>
                <w:sz w:val="24"/>
              </w:rPr>
              <w:t>2、负责工信厅展区的设计、搭建、施工、撤展等工作；协调参展企业的展示要求，在不影响整体设计施工方案的前提下，最大限度展示专精特新企业的优势。</w:t>
            </w:r>
          </w:p>
          <w:p>
            <w:pPr>
              <w:pStyle w:val="null3"/>
              <w:ind w:firstLine="480"/>
              <w:jc w:val="both"/>
            </w:pPr>
            <w:r>
              <w:rPr>
                <w:rFonts w:ascii="仿宋_GB2312" w:hAnsi="仿宋_GB2312" w:cs="仿宋_GB2312" w:eastAsia="仿宋_GB2312"/>
                <w:sz w:val="24"/>
              </w:rPr>
              <w:t>3、其他服务：负责参展企业的协调沟通及与丝博会组委会对接工作；负责组展、布展、展示、撤展期间与参展企业沟通对接</w:t>
            </w:r>
            <w:r>
              <w:rPr>
                <w:rFonts w:ascii="仿宋_GB2312" w:hAnsi="仿宋_GB2312" w:cs="仿宋_GB2312" w:eastAsia="仿宋_GB2312"/>
                <w:sz w:val="24"/>
              </w:rPr>
              <w:t>及现场服务；</w:t>
            </w:r>
            <w:r>
              <w:rPr>
                <w:rFonts w:ascii="仿宋_GB2312" w:hAnsi="仿宋_GB2312" w:cs="仿宋_GB2312" w:eastAsia="仿宋_GB2312"/>
                <w:sz w:val="24"/>
              </w:rPr>
              <w:t>负责证件办理、媒体宣传报道等。</w:t>
            </w:r>
          </w:p>
          <w:p>
            <w:pPr>
              <w:pStyle w:val="null3"/>
            </w:pPr>
            <w:r>
              <w:rPr>
                <w:rFonts w:ascii="仿宋_GB2312" w:hAnsi="仿宋_GB2312" w:cs="仿宋_GB2312" w:eastAsia="仿宋_GB2312"/>
                <w:sz w:val="24"/>
              </w:rPr>
              <w:t xml:space="preserve">     具体位置见附图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服务期限：</w:t>
            </w:r>
            <w:r>
              <w:rPr>
                <w:rFonts w:ascii="仿宋_GB2312" w:hAnsi="仿宋_GB2312" w:cs="仿宋_GB2312" w:eastAsia="仿宋_GB2312"/>
                <w:sz w:val="24"/>
                <w:b/>
              </w:rPr>
              <w:t>2025年5月20-24日（以合同为准）</w:t>
            </w:r>
          </w:p>
          <w:p>
            <w:pPr>
              <w:pStyle w:val="null3"/>
              <w:jc w:val="both"/>
            </w:pPr>
            <w:r>
              <w:rPr>
                <w:rFonts w:ascii="仿宋_GB2312" w:hAnsi="仿宋_GB2312" w:cs="仿宋_GB2312" w:eastAsia="仿宋_GB2312"/>
                <w:sz w:val="24"/>
                <w:b/>
              </w:rPr>
              <w:t xml:space="preserve">  （四）</w:t>
            </w:r>
            <w:r>
              <w:rPr>
                <w:rFonts w:ascii="仿宋_GB2312" w:hAnsi="仿宋_GB2312" w:cs="仿宋_GB2312" w:eastAsia="仿宋_GB2312"/>
                <w:sz w:val="24"/>
                <w:b/>
              </w:rPr>
              <w:t>本项目是专门面向中小企业进行采购</w:t>
            </w:r>
          </w:p>
          <w:p>
            <w:pPr>
              <w:pStyle w:val="null3"/>
              <w:ind w:firstLine="482"/>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2025年5月20-24日（以合同为准）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西安国际会展中心4号馆（科技创新展）</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1.设计效果与实际效果要保持一致，在规定的搭建时间前完成布展工作。 2.遵守国家有关法律、法规和有关规定，并遵循安全、美观的基本原则，在设计与施工中必须贯彻有关安全、防火、环保、建筑、电器等现行标准和技术规范。 3.材料应符合产品有关标准的质量要求和设计要求，对使用特殊规定材料制品和设备应按其产品说明书的规定进行。 4.搭建项目验收不合格，由供应商返工直至合格，有关返工、再行验收，以及给采购人造成的损失等费用由供应商承担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满足竞争性磋商文件和采购人规范标准要求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磋商响应函.docx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磋商供应商资格证明文件.docx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法定代表人授权书及被授权人身份证（法定代表人直接参与，须提供法定代表人身份证明）</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2023年度或2024年度经会计事务所或审计机构审计的完整的财务审计报告（成立时间至提供磋商响应文件截止时间不足一年的可提供成立后任意时段的资产负债表）或在磋商截止时间前六个月内其开户银行出具的资信证明</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税收缴纳证明：供应商提供已缴纳的2024年4月至今至少一个月的纳税证明或完税证明（任意税种）；依法免税的供应商应提供相关文件证明；供应商为零申报企业提供证明材料</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社会保障资金缴纳证明：供应商提供已缴纳的2024年4月至今至少一个月的社会保障资金缴存单据或社保机构开具的社会保险参保缴费情况证明，依法不需要缴纳社会保障资金的单位应提供相关证明材料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磋商保证金交纳凭证及开户许可证或基本账户存款信息</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本项目不接受联合体磋商（提供非联合体承诺书）</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 号）条件的中小企业参与，供应商应填写中小企业声明函并对真实性负责</w:t>
            </w:r>
          </w:p>
        </w:tc>
        <w:tc>
          <w:tcPr>
            <w:tcW w:type="dxa" w:w="1661"/>
          </w:tcPr>
          <w:p>
            <w:pPr>
              <w:pStyle w:val="null3"/>
            </w:pPr>
            <w:r>
              <w:rPr>
                <w:rFonts w:ascii="仿宋_GB2312" w:hAnsi="仿宋_GB2312" w:cs="仿宋_GB2312" w:eastAsia="仿宋_GB2312"/>
              </w:rPr>
              <w:t>磋商供应商资格证明文件.docx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单位负责人为同一人或者存在直接控股、管理关系的不同供应商，不得参加同一合同项下的政府采购活动（提供供应商企业关系关联承诺书）</w:t>
            </w:r>
          </w:p>
        </w:tc>
        <w:tc>
          <w:tcPr>
            <w:tcW w:type="dxa" w:w="1661"/>
          </w:tcPr>
          <w:p>
            <w:pPr>
              <w:pStyle w:val="null3"/>
            </w:pPr>
            <w:r>
              <w:rPr>
                <w:rFonts w:ascii="仿宋_GB2312" w:hAnsi="仿宋_GB2312" w:cs="仿宋_GB2312" w:eastAsia="仿宋_GB2312"/>
              </w:rPr>
              <w:t>磋商供应商资格证明文件.docx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单位名称</w:t>
            </w:r>
          </w:p>
        </w:tc>
        <w:tc>
          <w:tcPr>
            <w:tcW w:type="dxa" w:w="3322"/>
          </w:tcPr>
          <w:p>
            <w:pPr>
              <w:pStyle w:val="null3"/>
            </w:pPr>
            <w:r>
              <w:rPr>
                <w:rFonts w:ascii="仿宋_GB2312" w:hAnsi="仿宋_GB2312" w:cs="仿宋_GB2312" w:eastAsia="仿宋_GB2312"/>
              </w:rPr>
              <w:t>磋商供应商名称与获取磋商文件的单位名称一致的</w:t>
            </w:r>
          </w:p>
        </w:tc>
        <w:tc>
          <w:tcPr>
            <w:tcW w:type="dxa" w:w="1661"/>
          </w:tcPr>
          <w:p>
            <w:pPr>
              <w:pStyle w:val="null3"/>
            </w:pPr>
            <w:r>
              <w:rPr>
                <w:rFonts w:ascii="仿宋_GB2312" w:hAnsi="仿宋_GB2312" w:cs="仿宋_GB2312" w:eastAsia="仿宋_GB2312"/>
              </w:rPr>
              <w:t>响应文件封面 磋商供应商资格证明文件.docx 分项报价表.docx 商务要求偏离表.docx 磋商方案说明.docx 磋商响应函.docx 标的清单 其他资料.docx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磋商供应商资格证明文件.docx 分项报价表.docx 商务要求偏离表.docx 磋商方案说明.docx 磋商响应函.docx 标的清单 其他资料.docx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具有有效的投标有效期</w:t>
            </w:r>
          </w:p>
        </w:tc>
        <w:tc>
          <w:tcPr>
            <w:tcW w:type="dxa" w:w="1661"/>
          </w:tcPr>
          <w:p>
            <w:pPr>
              <w:pStyle w:val="null3"/>
            </w:pPr>
            <w:r>
              <w:rPr>
                <w:rFonts w:ascii="仿宋_GB2312" w:hAnsi="仿宋_GB2312" w:cs="仿宋_GB2312" w:eastAsia="仿宋_GB2312"/>
              </w:rPr>
              <w:t>磋商响应函.docx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磋商响应函.docx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重大负偏离</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商务要求偏离表.docx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供应商提供针对本项目的服务方案，磋商小组成员根据响应情况进行赋分。 整体服务方案内容清晰、完整、可行性高，充分满足磋商文件要求的，得（24-36】分； 整体服务方案内容基本完整、可行，满足竞争性磋商文件要求的，得（12-24】分； 整体服务方案内容存在缺漏，基本满足竞争性磋商文件要求的，得（0-12】分； 不提供不得分。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针对本项目提供设计方案， 设计方案内容全面，分析透彻，完全具备科学性和可行性得（14-20】分； 设计方案内容基本完整，分析合理，具备一定的科学性和可行性得（7-14】分； 设计方案内容不全，分析简略，科学性和可行性一般得（0-7】分； 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项目团队和人员</w:t>
            </w:r>
          </w:p>
        </w:tc>
        <w:tc>
          <w:tcPr>
            <w:tcW w:type="dxa" w:w="2492"/>
          </w:tcPr>
          <w:p>
            <w:pPr>
              <w:pStyle w:val="null3"/>
            </w:pPr>
            <w:r>
              <w:rPr>
                <w:rFonts w:ascii="仿宋_GB2312" w:hAnsi="仿宋_GB2312" w:cs="仿宋_GB2312" w:eastAsia="仿宋_GB2312"/>
              </w:rPr>
              <w:t>提供拟投入本项目的组织机构人员，磋商小组成员根据响应情况进行赋分。 组织机构设置合理，管理人员及技术人员配备数量充足、人员职责明确、分工清晰合理、相关项目实施经验丰富得（14-20】分； 组织机构设置较为合理，管理人员及技术人员配备数量较充足、职责较明确、分工较清晰合理、相关项目实施经验较丰富得（7-14】分； 组织机构设置一般得（0-7】分； 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供应商提供保障本次活动顺利完成的其他保障承诺，根据服务单位的实际情况，结合供应商自身实力，作出其他有利于本项目及采购人的承诺，按其响应程度计【0-8】分。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供应商自2022年4月1日至今（以合同签订日期为准）具有与本项目类似业绩合同的，每有一个得2分，本项最高得6分。 注：磋商响应文件中提供合同协议书复印件，且合同中主要内容、标的、金额清晰可见，否则不得分。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满足磋商采购文件要求，通过资格审查且在规定时间内提交最终报价的为有效报价；价格最低的磋商总报价为评审基准价，其价格分为满分。其他供应商的价格分统一按照下列公式计算： 磋商报价得分=（评审基准价/磋商总报价）×10%×100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磋商响应函.docx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详见附件：磋商供应商资格证明文件.docx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