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17956">
      <w:pPr>
        <w:jc w:val="center"/>
        <w:rPr>
          <w:rFonts w:hint="eastAsia" w:ascii="宋体" w:hAnsi="宋体" w:cs="宋体"/>
          <w:b/>
          <w:color w:val="auto"/>
          <w:szCs w:val="28"/>
          <w:highlight w:val="none"/>
        </w:rPr>
      </w:pPr>
      <w:r>
        <w:rPr>
          <w:rFonts w:hint="eastAsia" w:ascii="宋体" w:hAnsi="宋体" w:cs="宋体"/>
          <w:b/>
          <w:color w:val="auto"/>
          <w:szCs w:val="28"/>
          <w:highlight w:val="none"/>
        </w:rPr>
        <w:t>分项报价表</w:t>
      </w:r>
    </w:p>
    <w:p w14:paraId="18E4752B">
      <w:pPr>
        <w:jc w:val="center"/>
        <w:rPr>
          <w:rFonts w:hint="eastAsia" w:ascii="宋体" w:hAnsi="宋体" w:cs="宋体"/>
          <w:b/>
          <w:color w:val="auto"/>
          <w:sz w:val="32"/>
          <w:szCs w:val="32"/>
          <w:highlight w:val="none"/>
        </w:rPr>
      </w:pPr>
    </w:p>
    <w:p w14:paraId="12A8569A">
      <w:pPr>
        <w:spacing w:line="40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磋商供应商名称：                                                              </w:t>
      </w:r>
    </w:p>
    <w:p w14:paraId="428EFD9B">
      <w:pPr>
        <w:spacing w:line="400" w:lineRule="exact"/>
        <w:rPr>
          <w:rFonts w:hint="eastAsia" w:ascii="宋体" w:hAnsi="宋体" w:cs="宋体"/>
          <w:color w:val="auto"/>
          <w:szCs w:val="21"/>
          <w:highlight w:val="none"/>
        </w:rPr>
      </w:pPr>
      <w:r>
        <w:rPr>
          <w:rFonts w:hint="eastAsia" w:ascii="宋体" w:hAnsi="宋体" w:cs="宋体"/>
          <w:color w:val="auto"/>
          <w:sz w:val="24"/>
          <w:szCs w:val="24"/>
          <w:highlight w:val="none"/>
        </w:rPr>
        <w:t>采购项目编号：</w:t>
      </w:r>
      <w:r>
        <w:rPr>
          <w:rFonts w:hint="eastAsia" w:ascii="宋体" w:hAnsi="宋体" w:cs="宋体"/>
          <w:color w:val="auto"/>
          <w:sz w:val="24"/>
          <w:szCs w:val="24"/>
          <w:highlight w:val="none"/>
          <w:lang w:eastAsia="zh-CN"/>
        </w:rPr>
        <w:t>TWZB2025-064</w:t>
      </w:r>
      <w:r>
        <w:rPr>
          <w:rFonts w:hint="eastAsia" w:ascii="宋体" w:hAnsi="宋体" w:cs="宋体"/>
          <w:color w:val="auto"/>
          <w:szCs w:val="21"/>
          <w:highlight w:val="none"/>
        </w:rPr>
        <w:t xml:space="preserve">                                          </w:t>
      </w:r>
    </w:p>
    <w:tbl>
      <w:tblPr>
        <w:tblStyle w:val="3"/>
        <w:tblpPr w:leftFromText="180" w:rightFromText="180" w:vertAnchor="text" w:horzAnchor="page" w:tblpXSpec="center" w:tblpY="401"/>
        <w:tblW w:w="8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3108"/>
        <w:gridCol w:w="1283"/>
        <w:gridCol w:w="1392"/>
        <w:gridCol w:w="1535"/>
      </w:tblGrid>
      <w:tr w14:paraId="15CC3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exact"/>
          <w:jc w:val="center"/>
        </w:trPr>
        <w:tc>
          <w:tcPr>
            <w:tcW w:w="1117" w:type="dxa"/>
            <w:noWrap w:val="0"/>
            <w:vAlign w:val="center"/>
          </w:tcPr>
          <w:p w14:paraId="19E1FC49">
            <w:pPr>
              <w:snapToGrid w:val="0"/>
              <w:spacing w:line="276" w:lineRule="auto"/>
              <w:jc w:val="center"/>
              <w:rPr>
                <w:rFonts w:hint="eastAsia" w:ascii="宋体" w:hAnsi="宋体" w:cs="宋体"/>
                <w:b/>
                <w:color w:val="auto"/>
                <w:sz w:val="18"/>
                <w:szCs w:val="18"/>
                <w:highlight w:val="none"/>
              </w:rPr>
            </w:pPr>
            <w:r>
              <w:rPr>
                <w:rFonts w:hint="eastAsia" w:ascii="宋体" w:hAnsi="宋体" w:cs="宋体"/>
                <w:b/>
                <w:color w:val="auto"/>
                <w:sz w:val="18"/>
                <w:szCs w:val="18"/>
                <w:highlight w:val="none"/>
              </w:rPr>
              <w:t>序号</w:t>
            </w:r>
          </w:p>
        </w:tc>
        <w:tc>
          <w:tcPr>
            <w:tcW w:w="3108" w:type="dxa"/>
            <w:noWrap w:val="0"/>
            <w:vAlign w:val="center"/>
          </w:tcPr>
          <w:p w14:paraId="14E87869">
            <w:pPr>
              <w:snapToGrid w:val="0"/>
              <w:spacing w:line="276" w:lineRule="auto"/>
              <w:jc w:val="center"/>
              <w:rPr>
                <w:rFonts w:hint="eastAsia" w:ascii="宋体" w:hAnsi="宋体" w:cs="宋体"/>
                <w:b/>
                <w:color w:val="auto"/>
                <w:sz w:val="18"/>
                <w:szCs w:val="18"/>
                <w:highlight w:val="none"/>
              </w:rPr>
            </w:pPr>
            <w:r>
              <w:rPr>
                <w:rFonts w:hint="eastAsia" w:ascii="宋体" w:hAnsi="宋体" w:cs="宋体"/>
                <w:b/>
                <w:color w:val="auto"/>
                <w:sz w:val="18"/>
                <w:szCs w:val="18"/>
                <w:highlight w:val="none"/>
              </w:rPr>
              <w:t>内容</w:t>
            </w:r>
          </w:p>
        </w:tc>
        <w:tc>
          <w:tcPr>
            <w:tcW w:w="1283" w:type="dxa"/>
            <w:noWrap w:val="0"/>
            <w:vAlign w:val="center"/>
          </w:tcPr>
          <w:p w14:paraId="1ADFA080">
            <w:pPr>
              <w:snapToGrid w:val="0"/>
              <w:spacing w:line="276" w:lineRule="auto"/>
              <w:jc w:val="center"/>
              <w:rPr>
                <w:rFonts w:hint="eastAsia" w:ascii="宋体" w:hAnsi="宋体" w:cs="宋体"/>
                <w:b/>
                <w:color w:val="auto"/>
                <w:sz w:val="18"/>
                <w:szCs w:val="18"/>
                <w:highlight w:val="none"/>
              </w:rPr>
            </w:pPr>
            <w:r>
              <w:rPr>
                <w:rFonts w:hint="eastAsia" w:ascii="宋体" w:hAnsi="宋体" w:cs="宋体"/>
                <w:b/>
                <w:color w:val="auto"/>
                <w:sz w:val="18"/>
                <w:szCs w:val="18"/>
                <w:highlight w:val="none"/>
              </w:rPr>
              <w:t>数量</w:t>
            </w:r>
          </w:p>
        </w:tc>
        <w:tc>
          <w:tcPr>
            <w:tcW w:w="1392" w:type="dxa"/>
            <w:noWrap w:val="0"/>
            <w:vAlign w:val="center"/>
          </w:tcPr>
          <w:p w14:paraId="74E4AF0C">
            <w:pPr>
              <w:snapToGrid w:val="0"/>
              <w:spacing w:line="276" w:lineRule="auto"/>
              <w:jc w:val="center"/>
              <w:rPr>
                <w:rFonts w:hint="eastAsia" w:ascii="宋体" w:hAnsi="宋体" w:cs="宋体"/>
                <w:b/>
                <w:color w:val="auto"/>
                <w:sz w:val="18"/>
                <w:szCs w:val="18"/>
                <w:highlight w:val="none"/>
              </w:rPr>
            </w:pPr>
            <w:r>
              <w:rPr>
                <w:rFonts w:hint="eastAsia" w:ascii="宋体" w:hAnsi="宋体" w:cs="宋体"/>
                <w:b/>
                <w:color w:val="auto"/>
                <w:sz w:val="18"/>
                <w:szCs w:val="18"/>
                <w:highlight w:val="none"/>
              </w:rPr>
              <w:t>单价（元）</w:t>
            </w:r>
          </w:p>
        </w:tc>
        <w:tc>
          <w:tcPr>
            <w:tcW w:w="1535" w:type="dxa"/>
            <w:noWrap w:val="0"/>
            <w:vAlign w:val="center"/>
          </w:tcPr>
          <w:p w14:paraId="64842407">
            <w:pPr>
              <w:snapToGrid w:val="0"/>
              <w:spacing w:line="276" w:lineRule="auto"/>
              <w:jc w:val="center"/>
              <w:rPr>
                <w:rFonts w:hint="eastAsia" w:ascii="宋体" w:hAnsi="宋体" w:cs="宋体"/>
                <w:b/>
                <w:color w:val="auto"/>
                <w:sz w:val="18"/>
                <w:szCs w:val="18"/>
                <w:highlight w:val="none"/>
              </w:rPr>
            </w:pPr>
            <w:r>
              <w:rPr>
                <w:rFonts w:hint="eastAsia" w:ascii="宋体" w:hAnsi="宋体" w:cs="宋体"/>
                <w:b/>
                <w:color w:val="auto"/>
                <w:sz w:val="18"/>
                <w:szCs w:val="18"/>
                <w:highlight w:val="none"/>
              </w:rPr>
              <w:t>总价（元）</w:t>
            </w:r>
          </w:p>
        </w:tc>
      </w:tr>
      <w:tr w14:paraId="7C41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117" w:type="dxa"/>
            <w:noWrap w:val="0"/>
            <w:vAlign w:val="center"/>
          </w:tcPr>
          <w:p w14:paraId="666ECB52">
            <w:pPr>
              <w:snapToGrid w:val="0"/>
              <w:spacing w:line="400" w:lineRule="exact"/>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1</w:t>
            </w:r>
          </w:p>
        </w:tc>
        <w:tc>
          <w:tcPr>
            <w:tcW w:w="3108" w:type="dxa"/>
            <w:noWrap w:val="0"/>
            <w:vAlign w:val="center"/>
          </w:tcPr>
          <w:p w14:paraId="628015C8">
            <w:pPr>
              <w:snapToGrid w:val="0"/>
              <w:spacing w:line="400" w:lineRule="exact"/>
              <w:jc w:val="center"/>
              <w:rPr>
                <w:rFonts w:hint="eastAsia" w:ascii="宋体" w:hAnsi="宋体" w:cs="宋体"/>
                <w:color w:val="auto"/>
                <w:sz w:val="18"/>
                <w:szCs w:val="18"/>
                <w:highlight w:val="none"/>
              </w:rPr>
            </w:pPr>
          </w:p>
        </w:tc>
        <w:tc>
          <w:tcPr>
            <w:tcW w:w="1283" w:type="dxa"/>
            <w:noWrap w:val="0"/>
            <w:vAlign w:val="center"/>
          </w:tcPr>
          <w:p w14:paraId="56B25949">
            <w:pPr>
              <w:snapToGrid w:val="0"/>
              <w:spacing w:line="400" w:lineRule="exact"/>
              <w:jc w:val="center"/>
              <w:rPr>
                <w:rFonts w:hint="eastAsia" w:ascii="宋体" w:hAnsi="宋体" w:cs="宋体"/>
                <w:color w:val="auto"/>
                <w:sz w:val="18"/>
                <w:szCs w:val="18"/>
                <w:highlight w:val="none"/>
              </w:rPr>
            </w:pPr>
          </w:p>
        </w:tc>
        <w:tc>
          <w:tcPr>
            <w:tcW w:w="1392" w:type="dxa"/>
            <w:noWrap w:val="0"/>
            <w:vAlign w:val="center"/>
          </w:tcPr>
          <w:p w14:paraId="3F11BE31">
            <w:pPr>
              <w:snapToGrid w:val="0"/>
              <w:spacing w:line="400" w:lineRule="exact"/>
              <w:jc w:val="center"/>
              <w:rPr>
                <w:rFonts w:hint="eastAsia" w:ascii="宋体" w:hAnsi="宋体" w:cs="宋体"/>
                <w:color w:val="auto"/>
                <w:sz w:val="18"/>
                <w:szCs w:val="18"/>
                <w:highlight w:val="none"/>
              </w:rPr>
            </w:pPr>
          </w:p>
        </w:tc>
        <w:tc>
          <w:tcPr>
            <w:tcW w:w="1535" w:type="dxa"/>
            <w:noWrap w:val="0"/>
            <w:vAlign w:val="center"/>
          </w:tcPr>
          <w:p w14:paraId="1AFD53D7">
            <w:pPr>
              <w:snapToGrid w:val="0"/>
              <w:spacing w:line="400" w:lineRule="exact"/>
              <w:jc w:val="center"/>
              <w:rPr>
                <w:rFonts w:hint="eastAsia" w:ascii="宋体" w:hAnsi="宋体" w:cs="宋体"/>
                <w:color w:val="auto"/>
                <w:sz w:val="18"/>
                <w:szCs w:val="18"/>
                <w:highlight w:val="none"/>
              </w:rPr>
            </w:pPr>
          </w:p>
        </w:tc>
      </w:tr>
      <w:tr w14:paraId="0B21D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117" w:type="dxa"/>
            <w:noWrap w:val="0"/>
            <w:vAlign w:val="center"/>
          </w:tcPr>
          <w:p w14:paraId="1CCD4D3D">
            <w:pPr>
              <w:snapToGrid w:val="0"/>
              <w:spacing w:line="400" w:lineRule="exact"/>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2</w:t>
            </w:r>
          </w:p>
        </w:tc>
        <w:tc>
          <w:tcPr>
            <w:tcW w:w="3108" w:type="dxa"/>
            <w:noWrap w:val="0"/>
            <w:vAlign w:val="center"/>
          </w:tcPr>
          <w:p w14:paraId="6AC01A73">
            <w:pPr>
              <w:snapToGrid w:val="0"/>
              <w:spacing w:line="400" w:lineRule="exact"/>
              <w:jc w:val="center"/>
              <w:rPr>
                <w:rFonts w:hint="eastAsia" w:ascii="宋体" w:hAnsi="宋体" w:cs="宋体"/>
                <w:color w:val="auto"/>
                <w:sz w:val="18"/>
                <w:szCs w:val="18"/>
                <w:highlight w:val="none"/>
              </w:rPr>
            </w:pPr>
          </w:p>
        </w:tc>
        <w:tc>
          <w:tcPr>
            <w:tcW w:w="1283" w:type="dxa"/>
            <w:noWrap w:val="0"/>
            <w:vAlign w:val="center"/>
          </w:tcPr>
          <w:p w14:paraId="4B74BA87">
            <w:pPr>
              <w:snapToGrid w:val="0"/>
              <w:spacing w:line="400" w:lineRule="exact"/>
              <w:jc w:val="center"/>
              <w:rPr>
                <w:rFonts w:hint="eastAsia" w:ascii="宋体" w:hAnsi="宋体" w:cs="宋体"/>
                <w:color w:val="auto"/>
                <w:sz w:val="18"/>
                <w:szCs w:val="18"/>
                <w:highlight w:val="none"/>
              </w:rPr>
            </w:pPr>
          </w:p>
        </w:tc>
        <w:tc>
          <w:tcPr>
            <w:tcW w:w="1392" w:type="dxa"/>
            <w:noWrap w:val="0"/>
            <w:vAlign w:val="center"/>
          </w:tcPr>
          <w:p w14:paraId="20702172">
            <w:pPr>
              <w:snapToGrid w:val="0"/>
              <w:spacing w:line="400" w:lineRule="exact"/>
              <w:jc w:val="center"/>
              <w:rPr>
                <w:rFonts w:hint="eastAsia" w:ascii="宋体" w:hAnsi="宋体" w:cs="宋体"/>
                <w:color w:val="auto"/>
                <w:sz w:val="18"/>
                <w:szCs w:val="18"/>
                <w:highlight w:val="none"/>
              </w:rPr>
            </w:pPr>
          </w:p>
        </w:tc>
        <w:tc>
          <w:tcPr>
            <w:tcW w:w="1535" w:type="dxa"/>
            <w:noWrap w:val="0"/>
            <w:vAlign w:val="center"/>
          </w:tcPr>
          <w:p w14:paraId="09BE0509">
            <w:pPr>
              <w:snapToGrid w:val="0"/>
              <w:spacing w:line="400" w:lineRule="exact"/>
              <w:jc w:val="center"/>
              <w:rPr>
                <w:rFonts w:hint="eastAsia" w:ascii="宋体" w:hAnsi="宋体" w:cs="宋体"/>
                <w:color w:val="auto"/>
                <w:sz w:val="18"/>
                <w:szCs w:val="18"/>
                <w:highlight w:val="none"/>
              </w:rPr>
            </w:pPr>
          </w:p>
        </w:tc>
      </w:tr>
      <w:tr w14:paraId="06953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17" w:type="dxa"/>
            <w:noWrap w:val="0"/>
            <w:vAlign w:val="center"/>
          </w:tcPr>
          <w:p w14:paraId="380E7FF2">
            <w:pPr>
              <w:snapToGrid w:val="0"/>
              <w:spacing w:line="400" w:lineRule="exact"/>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3</w:t>
            </w:r>
          </w:p>
        </w:tc>
        <w:tc>
          <w:tcPr>
            <w:tcW w:w="3108" w:type="dxa"/>
            <w:noWrap w:val="0"/>
            <w:vAlign w:val="center"/>
          </w:tcPr>
          <w:p w14:paraId="1D7FDD6D">
            <w:pPr>
              <w:snapToGrid w:val="0"/>
              <w:spacing w:line="400" w:lineRule="exact"/>
              <w:jc w:val="center"/>
              <w:rPr>
                <w:rFonts w:hint="eastAsia" w:ascii="宋体" w:hAnsi="宋体" w:cs="宋体"/>
                <w:color w:val="auto"/>
                <w:sz w:val="18"/>
                <w:szCs w:val="18"/>
                <w:highlight w:val="none"/>
              </w:rPr>
            </w:pPr>
          </w:p>
        </w:tc>
        <w:tc>
          <w:tcPr>
            <w:tcW w:w="1283" w:type="dxa"/>
            <w:noWrap w:val="0"/>
            <w:vAlign w:val="center"/>
          </w:tcPr>
          <w:p w14:paraId="153DF5DB">
            <w:pPr>
              <w:snapToGrid w:val="0"/>
              <w:spacing w:line="400" w:lineRule="exact"/>
              <w:jc w:val="center"/>
              <w:rPr>
                <w:rFonts w:hint="eastAsia" w:ascii="宋体" w:hAnsi="宋体" w:cs="宋体"/>
                <w:color w:val="auto"/>
                <w:sz w:val="18"/>
                <w:szCs w:val="18"/>
                <w:highlight w:val="none"/>
              </w:rPr>
            </w:pPr>
          </w:p>
        </w:tc>
        <w:tc>
          <w:tcPr>
            <w:tcW w:w="1392" w:type="dxa"/>
            <w:noWrap w:val="0"/>
            <w:vAlign w:val="center"/>
          </w:tcPr>
          <w:p w14:paraId="3AA723B8">
            <w:pPr>
              <w:snapToGrid w:val="0"/>
              <w:spacing w:line="400" w:lineRule="exact"/>
              <w:jc w:val="center"/>
              <w:rPr>
                <w:rFonts w:hint="eastAsia" w:ascii="宋体" w:hAnsi="宋体" w:cs="宋体"/>
                <w:color w:val="auto"/>
                <w:sz w:val="18"/>
                <w:szCs w:val="18"/>
                <w:highlight w:val="none"/>
              </w:rPr>
            </w:pPr>
          </w:p>
        </w:tc>
        <w:tc>
          <w:tcPr>
            <w:tcW w:w="1535" w:type="dxa"/>
            <w:noWrap w:val="0"/>
            <w:vAlign w:val="center"/>
          </w:tcPr>
          <w:p w14:paraId="39EFD211">
            <w:pPr>
              <w:snapToGrid w:val="0"/>
              <w:spacing w:line="400" w:lineRule="exact"/>
              <w:jc w:val="center"/>
              <w:rPr>
                <w:rFonts w:hint="eastAsia" w:ascii="宋体" w:hAnsi="宋体" w:cs="宋体"/>
                <w:color w:val="auto"/>
                <w:sz w:val="18"/>
                <w:szCs w:val="18"/>
                <w:highlight w:val="none"/>
              </w:rPr>
            </w:pPr>
          </w:p>
        </w:tc>
      </w:tr>
      <w:tr w14:paraId="05BF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17" w:type="dxa"/>
            <w:noWrap w:val="0"/>
            <w:vAlign w:val="center"/>
          </w:tcPr>
          <w:p w14:paraId="7EBF5834">
            <w:pPr>
              <w:snapToGrid w:val="0"/>
              <w:spacing w:line="400" w:lineRule="exact"/>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4</w:t>
            </w:r>
          </w:p>
        </w:tc>
        <w:tc>
          <w:tcPr>
            <w:tcW w:w="3108" w:type="dxa"/>
            <w:noWrap w:val="0"/>
            <w:vAlign w:val="center"/>
          </w:tcPr>
          <w:p w14:paraId="0ED50414">
            <w:pPr>
              <w:snapToGrid w:val="0"/>
              <w:spacing w:line="400" w:lineRule="exact"/>
              <w:jc w:val="center"/>
              <w:rPr>
                <w:rFonts w:hint="eastAsia" w:ascii="宋体" w:hAnsi="宋体" w:cs="宋体"/>
                <w:color w:val="auto"/>
                <w:sz w:val="18"/>
                <w:szCs w:val="18"/>
                <w:highlight w:val="none"/>
              </w:rPr>
            </w:pPr>
          </w:p>
        </w:tc>
        <w:tc>
          <w:tcPr>
            <w:tcW w:w="1283" w:type="dxa"/>
            <w:noWrap w:val="0"/>
            <w:vAlign w:val="center"/>
          </w:tcPr>
          <w:p w14:paraId="0B4722E7">
            <w:pPr>
              <w:snapToGrid w:val="0"/>
              <w:spacing w:line="400" w:lineRule="exact"/>
              <w:jc w:val="center"/>
              <w:rPr>
                <w:rFonts w:hint="eastAsia" w:ascii="宋体" w:hAnsi="宋体" w:cs="宋体"/>
                <w:color w:val="auto"/>
                <w:sz w:val="18"/>
                <w:szCs w:val="18"/>
                <w:highlight w:val="none"/>
              </w:rPr>
            </w:pPr>
          </w:p>
        </w:tc>
        <w:tc>
          <w:tcPr>
            <w:tcW w:w="1392" w:type="dxa"/>
            <w:noWrap w:val="0"/>
            <w:vAlign w:val="center"/>
          </w:tcPr>
          <w:p w14:paraId="44753118">
            <w:pPr>
              <w:snapToGrid w:val="0"/>
              <w:spacing w:line="400" w:lineRule="exact"/>
              <w:jc w:val="center"/>
              <w:rPr>
                <w:rFonts w:hint="eastAsia" w:ascii="宋体" w:hAnsi="宋体" w:cs="宋体"/>
                <w:color w:val="auto"/>
                <w:sz w:val="18"/>
                <w:szCs w:val="18"/>
                <w:highlight w:val="none"/>
              </w:rPr>
            </w:pPr>
          </w:p>
        </w:tc>
        <w:tc>
          <w:tcPr>
            <w:tcW w:w="1535" w:type="dxa"/>
            <w:noWrap w:val="0"/>
            <w:vAlign w:val="center"/>
          </w:tcPr>
          <w:p w14:paraId="70AB171B">
            <w:pPr>
              <w:snapToGrid w:val="0"/>
              <w:spacing w:line="400" w:lineRule="exact"/>
              <w:jc w:val="center"/>
              <w:rPr>
                <w:rFonts w:hint="eastAsia" w:ascii="宋体" w:hAnsi="宋体" w:cs="宋体"/>
                <w:color w:val="auto"/>
                <w:sz w:val="18"/>
                <w:szCs w:val="18"/>
                <w:highlight w:val="none"/>
              </w:rPr>
            </w:pPr>
          </w:p>
        </w:tc>
      </w:tr>
      <w:tr w14:paraId="449E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17" w:type="dxa"/>
            <w:noWrap w:val="0"/>
            <w:vAlign w:val="center"/>
          </w:tcPr>
          <w:p w14:paraId="111C3524">
            <w:pPr>
              <w:snapToGrid w:val="0"/>
              <w:spacing w:line="400" w:lineRule="exact"/>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5</w:t>
            </w:r>
          </w:p>
        </w:tc>
        <w:tc>
          <w:tcPr>
            <w:tcW w:w="3108" w:type="dxa"/>
            <w:noWrap w:val="0"/>
            <w:vAlign w:val="center"/>
          </w:tcPr>
          <w:p w14:paraId="54D5C70E">
            <w:pPr>
              <w:snapToGrid w:val="0"/>
              <w:spacing w:line="400" w:lineRule="exact"/>
              <w:jc w:val="center"/>
              <w:rPr>
                <w:rFonts w:hint="eastAsia" w:ascii="宋体" w:hAnsi="宋体" w:cs="宋体"/>
                <w:color w:val="auto"/>
                <w:sz w:val="18"/>
                <w:szCs w:val="18"/>
                <w:highlight w:val="none"/>
              </w:rPr>
            </w:pPr>
          </w:p>
        </w:tc>
        <w:tc>
          <w:tcPr>
            <w:tcW w:w="1283" w:type="dxa"/>
            <w:noWrap w:val="0"/>
            <w:vAlign w:val="center"/>
          </w:tcPr>
          <w:p w14:paraId="0D218841">
            <w:pPr>
              <w:snapToGrid w:val="0"/>
              <w:spacing w:line="400" w:lineRule="exact"/>
              <w:jc w:val="center"/>
              <w:rPr>
                <w:rFonts w:hint="eastAsia" w:ascii="宋体" w:hAnsi="宋体" w:cs="宋体"/>
                <w:color w:val="auto"/>
                <w:sz w:val="18"/>
                <w:szCs w:val="18"/>
                <w:highlight w:val="none"/>
              </w:rPr>
            </w:pPr>
          </w:p>
        </w:tc>
        <w:tc>
          <w:tcPr>
            <w:tcW w:w="1392" w:type="dxa"/>
            <w:noWrap w:val="0"/>
            <w:vAlign w:val="center"/>
          </w:tcPr>
          <w:p w14:paraId="17C8722D">
            <w:pPr>
              <w:snapToGrid w:val="0"/>
              <w:spacing w:line="400" w:lineRule="exact"/>
              <w:jc w:val="center"/>
              <w:rPr>
                <w:rFonts w:hint="eastAsia" w:ascii="宋体" w:hAnsi="宋体" w:cs="宋体"/>
                <w:color w:val="auto"/>
                <w:sz w:val="18"/>
                <w:szCs w:val="18"/>
                <w:highlight w:val="none"/>
              </w:rPr>
            </w:pPr>
          </w:p>
        </w:tc>
        <w:tc>
          <w:tcPr>
            <w:tcW w:w="1535" w:type="dxa"/>
            <w:noWrap w:val="0"/>
            <w:vAlign w:val="center"/>
          </w:tcPr>
          <w:p w14:paraId="11280CF2">
            <w:pPr>
              <w:snapToGrid w:val="0"/>
              <w:spacing w:line="400" w:lineRule="exact"/>
              <w:jc w:val="center"/>
              <w:rPr>
                <w:rFonts w:hint="eastAsia" w:ascii="宋体" w:hAnsi="宋体" w:cs="宋体"/>
                <w:color w:val="auto"/>
                <w:sz w:val="18"/>
                <w:szCs w:val="18"/>
                <w:highlight w:val="none"/>
              </w:rPr>
            </w:pPr>
          </w:p>
        </w:tc>
      </w:tr>
      <w:tr w14:paraId="2006F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900" w:type="dxa"/>
            <w:gridSpan w:val="4"/>
            <w:noWrap w:val="0"/>
            <w:vAlign w:val="center"/>
          </w:tcPr>
          <w:p w14:paraId="1C35CE8C">
            <w:pPr>
              <w:snapToGrid w:val="0"/>
              <w:spacing w:line="400" w:lineRule="exact"/>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合计（元）</w:t>
            </w:r>
          </w:p>
        </w:tc>
        <w:tc>
          <w:tcPr>
            <w:tcW w:w="1535" w:type="dxa"/>
            <w:noWrap w:val="0"/>
            <w:vAlign w:val="center"/>
          </w:tcPr>
          <w:p w14:paraId="218985CC">
            <w:pPr>
              <w:snapToGrid w:val="0"/>
              <w:spacing w:line="400" w:lineRule="exact"/>
              <w:jc w:val="center"/>
              <w:rPr>
                <w:rFonts w:hint="eastAsia" w:ascii="宋体" w:hAnsi="宋体" w:cs="宋体"/>
                <w:color w:val="auto"/>
                <w:sz w:val="18"/>
                <w:szCs w:val="18"/>
                <w:highlight w:val="none"/>
              </w:rPr>
            </w:pPr>
          </w:p>
        </w:tc>
      </w:tr>
    </w:tbl>
    <w:p w14:paraId="7E111E4D">
      <w:pPr>
        <w:spacing w:before="240" w:line="480" w:lineRule="exact"/>
        <w:ind w:firstLine="90" w:firstLineChars="50"/>
        <w:jc w:val="left"/>
        <w:rPr>
          <w:rFonts w:hint="eastAsia" w:ascii="宋体" w:hAnsi="宋体" w:cs="宋体"/>
          <w:bCs/>
          <w:color w:val="auto"/>
          <w:sz w:val="18"/>
          <w:szCs w:val="18"/>
          <w:highlight w:val="none"/>
        </w:rPr>
      </w:pPr>
      <w:r>
        <w:rPr>
          <w:rFonts w:hint="eastAsia" w:ascii="宋体" w:hAnsi="宋体" w:cs="宋体"/>
          <w:color w:val="auto"/>
          <w:sz w:val="18"/>
          <w:szCs w:val="18"/>
          <w:highlight w:val="none"/>
        </w:rPr>
        <w:t>注：1、</w:t>
      </w:r>
      <w:r>
        <w:rPr>
          <w:rFonts w:hint="eastAsia" w:ascii="宋体" w:hAnsi="宋体" w:cs="宋体"/>
          <w:bCs/>
          <w:color w:val="auto"/>
          <w:sz w:val="18"/>
          <w:szCs w:val="18"/>
          <w:highlight w:val="none"/>
        </w:rPr>
        <w:t>磋商供应商必须按“第三章  磋商项目技术、服务、商务及其他要求”的详细报出磋商价的各个组成部分的报价，格式自拟，可自行调整表格；</w:t>
      </w:r>
    </w:p>
    <w:p w14:paraId="30DC5113">
      <w:pPr>
        <w:spacing w:line="480" w:lineRule="exact"/>
        <w:ind w:firstLine="450" w:firstLineChars="250"/>
        <w:rPr>
          <w:rFonts w:hint="eastAsia" w:ascii="宋体" w:hAnsi="宋体" w:cs="宋体"/>
          <w:bCs/>
          <w:color w:val="auto"/>
          <w:sz w:val="18"/>
          <w:szCs w:val="18"/>
          <w:highlight w:val="none"/>
        </w:rPr>
      </w:pPr>
      <w:r>
        <w:rPr>
          <w:rFonts w:hint="eastAsia" w:ascii="宋体" w:hAnsi="宋体" w:cs="宋体"/>
          <w:bCs/>
          <w:color w:val="auto"/>
          <w:sz w:val="18"/>
          <w:szCs w:val="18"/>
          <w:highlight w:val="none"/>
        </w:rPr>
        <w:t>2、“分项报价表”各分项报价合计应当与“第一次磋商报价表”总报价相等</w:t>
      </w:r>
      <w:r>
        <w:rPr>
          <w:rFonts w:hint="eastAsia" w:ascii="宋体" w:hAnsi="宋体" w:cs="宋体"/>
          <w:b/>
          <w:bCs/>
          <w:color w:val="auto"/>
          <w:sz w:val="18"/>
          <w:szCs w:val="18"/>
          <w:highlight w:val="none"/>
        </w:rPr>
        <w:t>；</w:t>
      </w:r>
    </w:p>
    <w:p w14:paraId="0B91DDA8">
      <w:pPr>
        <w:spacing w:line="480" w:lineRule="exact"/>
        <w:ind w:firstLine="450" w:firstLineChars="250"/>
        <w:rPr>
          <w:rFonts w:hint="eastAsia" w:ascii="宋体" w:hAnsi="宋体" w:cs="宋体"/>
          <w:color w:val="auto"/>
          <w:sz w:val="18"/>
          <w:szCs w:val="18"/>
          <w:highlight w:val="none"/>
        </w:rPr>
      </w:pPr>
      <w:r>
        <w:rPr>
          <w:rFonts w:hint="eastAsia" w:ascii="宋体" w:hAnsi="宋体" w:cs="宋体"/>
          <w:bCs/>
          <w:color w:val="auto"/>
          <w:sz w:val="18"/>
          <w:szCs w:val="18"/>
          <w:highlight w:val="none"/>
        </w:rPr>
        <w:t>3、“分项报价表”报价</w:t>
      </w:r>
      <w:r>
        <w:rPr>
          <w:rFonts w:hint="eastAsia" w:ascii="宋体" w:hAnsi="宋体" w:cs="宋体"/>
          <w:color w:val="auto"/>
          <w:sz w:val="18"/>
          <w:szCs w:val="18"/>
          <w:highlight w:val="none"/>
        </w:rPr>
        <w:t>最多保留小数点后两位；</w:t>
      </w:r>
    </w:p>
    <w:p w14:paraId="6BCDC1E6">
      <w:pPr>
        <w:spacing w:line="480" w:lineRule="exact"/>
        <w:ind w:firstLine="450" w:firstLineChars="250"/>
        <w:rPr>
          <w:rFonts w:hint="eastAsia" w:ascii="宋体" w:hAnsi="宋体" w:eastAsia="宋体" w:cs="宋体"/>
          <w:bCs/>
          <w:color w:val="auto"/>
          <w:sz w:val="18"/>
          <w:szCs w:val="18"/>
          <w:highlight w:val="none"/>
        </w:rPr>
      </w:pPr>
      <w:r>
        <w:rPr>
          <w:rFonts w:hint="eastAsia" w:ascii="宋体" w:hAnsi="宋体" w:cs="宋体"/>
          <w:color w:val="auto"/>
          <w:sz w:val="18"/>
          <w:szCs w:val="18"/>
          <w:highlight w:val="none"/>
        </w:rPr>
        <w:t>4、如果按单价计算的结果与金额不一</w:t>
      </w:r>
      <w:r>
        <w:rPr>
          <w:rFonts w:hint="eastAsia" w:ascii="宋体" w:hAnsi="宋体" w:eastAsia="宋体" w:cs="宋体"/>
          <w:bCs/>
          <w:color w:val="auto"/>
          <w:sz w:val="18"/>
          <w:szCs w:val="18"/>
          <w:highlight w:val="none"/>
        </w:rPr>
        <w:t>致时，以单价为准修正金额与合计金额；</w:t>
      </w:r>
    </w:p>
    <w:p w14:paraId="6745345B">
      <w:pPr>
        <w:spacing w:line="480" w:lineRule="exact"/>
        <w:ind w:firstLine="450" w:firstLineChars="250"/>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5、此表可自行扩展。</w:t>
      </w:r>
    </w:p>
    <w:p w14:paraId="7F56D70E">
      <w:pPr>
        <w:spacing w:line="480" w:lineRule="exact"/>
        <w:ind w:firstLine="450" w:firstLineChars="250"/>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lang w:val="en-US" w:eastAsia="zh-CN"/>
        </w:rPr>
        <w:t>6</w:t>
      </w:r>
      <w:r>
        <w:rPr>
          <w:rFonts w:hint="eastAsia" w:ascii="宋体" w:hAnsi="宋体" w:eastAsia="宋体" w:cs="宋体"/>
          <w:bCs/>
          <w:color w:val="auto"/>
          <w:sz w:val="18"/>
          <w:szCs w:val="18"/>
          <w:highlight w:val="none"/>
        </w:rPr>
        <w:t>、供应商在二次磋商报价后分项报价表中的各分项报价根据磋商二次总报价的下浮比例同比例下降。</w:t>
      </w:r>
    </w:p>
    <w:p w14:paraId="61E6BEFA">
      <w:pPr>
        <w:jc w:val="center"/>
        <w:rPr>
          <w:rFonts w:hint="eastAsia" w:ascii="宋体" w:hAnsi="宋体" w:cs="宋体"/>
          <w:b/>
          <w:color w:val="auto"/>
          <w:sz w:val="32"/>
          <w:szCs w:val="32"/>
          <w:highlight w:val="none"/>
        </w:rPr>
      </w:pPr>
    </w:p>
    <w:p w14:paraId="48DBBA90">
      <w:pPr>
        <w:adjustRightInd w:val="0"/>
        <w:spacing w:line="400" w:lineRule="exact"/>
        <w:ind w:left="140" w:leftChars="5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磋商供应商（单位盖章）：           </w:t>
      </w:r>
    </w:p>
    <w:p w14:paraId="5495F4FA">
      <w:pPr>
        <w:adjustRightInd w:val="0"/>
        <w:spacing w:line="400" w:lineRule="exact"/>
        <w:jc w:val="left"/>
        <w:rPr>
          <w:rFonts w:hint="eastAsia" w:ascii="宋体" w:hAnsi="宋体" w:cs="宋体"/>
          <w:color w:val="auto"/>
          <w:sz w:val="24"/>
          <w:szCs w:val="24"/>
          <w:highlight w:val="none"/>
        </w:rPr>
      </w:pPr>
    </w:p>
    <w:p w14:paraId="3958079A">
      <w:pPr>
        <w:adjustRightInd w:val="0"/>
        <w:spacing w:line="400" w:lineRule="exact"/>
        <w:ind w:left="140" w:leftChars="5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法定代表人或被授权代表（</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07B29438">
      <w:pPr>
        <w:spacing w:line="360" w:lineRule="auto"/>
        <w:outlineLvl w:val="1"/>
        <w:rPr>
          <w:rFonts w:hint="eastAsia" w:ascii="宋体" w:hAnsi="宋体" w:cs="宋体"/>
          <w:color w:val="auto"/>
          <w:sz w:val="24"/>
          <w:szCs w:val="24"/>
          <w:highlight w:val="none"/>
        </w:rPr>
      </w:pPr>
    </w:p>
    <w:p w14:paraId="50F546D4">
      <w:r>
        <w:rPr>
          <w:rFonts w:hint="eastAsia" w:ascii="宋体" w:hAnsi="宋体" w:cs="宋体"/>
          <w:color w:val="auto"/>
          <w:sz w:val="24"/>
          <w:szCs w:val="24"/>
          <w:highlight w:val="none"/>
        </w:rPr>
        <w:t xml:space="preserve">日期：   </w:t>
      </w:r>
      <w:bookmarkStart w:id="0" w:name="_GoBack"/>
      <w:bookmarkEnd w:id="0"/>
      <w:r>
        <w:rPr>
          <w:rFonts w:hint="eastAsia" w:ascii="宋体" w:hAnsi="宋体" w:cs="宋体"/>
          <w:color w:val="auto"/>
          <w:sz w:val="24"/>
          <w:szCs w:val="24"/>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26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alibri"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2025-04-28T08:56:11Z</dcterms:created>
  <dc:creator>Administrator</dc:creator>
  <cp:lastModifiedBy>招标代理公司-宋璟雯</cp:lastModifiedBy>
  <dcterms:modified xsi:type="dcterms:W3CDTF">2025-04-28T08:56:23Z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eyJoZGlkIjoiNjMzZmQ0ZDk5YzU0YjllNTdjMTBiZDMxYTg3ZmM2YmYiLCJ1c2VySWQiOiIxMzU4MjU4NDA5In0=</vt:lpwstr>
  </property>
  <property fmtid="{D5CDD505-2E9C-101B-9397-08002B2CF9AE}" pid="4" name="ICV">
    <vt:lpwstr>0CEED8C6B46F442AA4C52DD070B1144A_12</vt:lpwstr>
  </property>
</Properties>
</file>