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版本号：KY2025-1-33120250430001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生化需氧量分析检测仪采购项目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KY2025-1-331</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生化需氧量分析检测仪采购项目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KY2025-1-331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生化需氧量分析检测仪采购项目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生化需氧量分析检测仪是环境、市政等专业科研与教学工作中最常用的分析仪器，可用于生活污水、化工废水、餐厨垃圾等环境中常见有机废弃物中生化需氧量的定量测定。然而，校内现有的生化需氧量测定仪器已使用12年，监测方法落后，一次测样时长超过5天，操作过程繁琐，耗时长。此外，由于现有仪器使用年限过长，经常出现故障，导致实验过程人力消耗高，结果误差大，严重制约相关教学与科研工作开展。本项目旨在采购先进的生化需氧量测定仪器，用于满足教学与科研工作中生化需氧量的精准、快速与可靠测定，具体内容详见谈判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采购包1（生化需氧量分析检测仪采购项目）：属于专门面向中小企业采购。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1、法定代表人授权委托书：法定代表人授权书及被授权人身份证明。（法定代表人直接谈判只须提供其身份证明）</w:t>
      </w:r>
    </w:p>
    <w:p>
      <w:pPr>
        <w:pStyle w:val="null3"/>
      </w:pPr>
      <w:r>
        <w:rPr>
          <w:rFonts w:ascii="仿宋_GB2312" w:hAnsi="仿宋_GB2312" w:cs="仿宋_GB2312" w:eastAsia="仿宋_GB2312"/>
        </w:rPr>
        <w:t>2、中小企业声明函：本采购包专门面向中小企业采购，供应商须提供中小企业声明函。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尚娇、牛佩文、刘金柯、卢韶华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银行账号：86113010750181501004222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说明：1、合同签订前，乙方须向甲方提交合同总价的5%作为履约保证金； 2、设备到货并由甲方验收合格后，乙方申请，甲方将履约保证金（无息）退还乙方。</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代理服务费收费标准：中标人应依据中标金额向采购代理机构交纳中标服务费，交费金额以国家计委颁布的《招标代理服务收费管理暂行办法》(计价格[2002]1980号)文件为依据计代理服务费，按照以下要求计： 1、100万元(不含)以下的项目，按照文件标准计费收取； 2、100万元(含)以上的项目，按照文件标准上限75%计费。 3、本项目代理服务费按货物计取。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陕西开源招标有限公司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采购人、供应商双方共同开箱验收。在检查货物原产地、型号、规格、配置符合合同要求后，由供应商负责安装调试、采购人使用单位负责技术验收（供应商协助），验收以国内行业标准或合同文本货物供货配置清单中描述的有关技术要求为准。 （3）采购人使用单位初验合格后提出验收申请，学校相关部门根据使用单位技术验收结果，组织有关专家进行货物的最终验收。 （4）其他内容按谈判文件、响应文件及合同约定执行。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联系人：尚娇、刘金柯</w:t>
      </w:r>
    </w:p>
    <w:p>
      <w:pPr>
        <w:pStyle w:val="null3"/>
      </w:pPr>
      <w:r>
        <w:rPr>
          <w:rFonts w:ascii="仿宋_GB2312" w:hAnsi="仿宋_GB2312" w:cs="仿宋_GB2312" w:eastAsia="仿宋_GB2312"/>
        </w:rPr>
        <w:t>联系电话：029-81206622-821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color w:val="000000"/>
        </w:rPr>
        <w:t xml:space="preserve">  生化需氧量分析检测仪是环境、市政等专业科研与教学工作中最常用的分析仪器，可用于生活污水、化工废水、餐厨垃圾等环境中常见有机废弃物中生化需氧量的定量测定。然而，校内现有的生化需氧量测定仪器已使用12年，监测方法落后，一次测样时长超过5天，操作过程繁琐，耗时长。此外，由于现有仪器使用年限过长，经常出现故障，导致实验过程人力消耗高，结果误差大，严重制约相关教学与科研工作开展。本项目旨在采购先进的生化需氧量测定仪器，用于满足教学与科研工作中生化需氧量的精准、快速与可靠测定，具体内容详见技术</w:t>
      </w:r>
      <w:r>
        <w:rPr>
          <w:rFonts w:ascii="仿宋_GB2312" w:hAnsi="仿宋_GB2312" w:cs="仿宋_GB2312" w:eastAsia="仿宋_GB2312"/>
          <w:color w:val="000000"/>
        </w:rPr>
        <w:t>要求</w:t>
      </w:r>
      <w:r>
        <w:rPr>
          <w:rFonts w:ascii="仿宋_GB2312" w:hAnsi="仿宋_GB2312" w:cs="仿宋_GB2312" w:eastAsia="仿宋_GB2312"/>
          <w:color w:val="000000"/>
        </w:rPr>
        <w:t>。</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514,000.00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生化需氧量分析检测仪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514,000.00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标的名称：生化需氧量分析检测仪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color w:val="000000"/>
              </w:rPr>
              <w:t>1.</w:t>
            </w:r>
            <w:r>
              <w:rPr>
                <w:rFonts w:ascii="仿宋_GB2312" w:hAnsi="仿宋_GB2312" w:cs="仿宋_GB2312" w:eastAsia="仿宋_GB2312"/>
                <w:sz w:val="21"/>
              </w:rPr>
              <w:t xml:space="preserve"> </w:t>
            </w:r>
            <w:r>
              <w:rPr>
                <w:rFonts w:ascii="仿宋_GB2312" w:hAnsi="仿宋_GB2312" w:cs="仿宋_GB2312" w:eastAsia="仿宋_GB2312"/>
                <w:sz w:val="24"/>
                <w:b/>
                <w:color w:val="000000"/>
              </w:rPr>
              <w:t>项目概述：</w:t>
            </w:r>
          </w:p>
          <w:p>
            <w:pPr>
              <w:pStyle w:val="null3"/>
              <w:jc w:val="left"/>
            </w:pPr>
            <w:r>
              <w:rPr>
                <w:rFonts w:ascii="仿宋_GB2312" w:hAnsi="仿宋_GB2312" w:cs="仿宋_GB2312" w:eastAsia="仿宋_GB2312"/>
                <w:sz w:val="21"/>
                <w:b/>
              </w:rPr>
              <w:t xml:space="preserve">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生化需氧量分析检测仪是环境、市政等专业科研与教学工作中最常用的分析仪器，可用于生活污水、化工废水、餐厨垃圾等环境中常见有机废弃物中生化需氧量的定量测定。然而，校内现有的生化需氧量测定仪器已使用</w:t>
            </w:r>
            <w:r>
              <w:rPr>
                <w:rFonts w:ascii="仿宋_GB2312" w:hAnsi="仿宋_GB2312" w:cs="仿宋_GB2312" w:eastAsia="仿宋_GB2312"/>
                <w:sz w:val="24"/>
                <w:color w:val="000000"/>
              </w:rPr>
              <w:t>12年，监测方法落后，一次测样时长超过5天，操作过程繁琐，耗时长。此外，由于现有仪器使用年限过长，经常出现故障，导致实验过程人力消耗高，结果误差大，严重制约相关教学与科研工作开展。本项目旨在采购先进的生化需氧量测定仪器，用于满足教学与科研工作中生化需氧量的精准、快速与可靠测定。</w:t>
            </w:r>
          </w:p>
          <w:p>
            <w:pPr>
              <w:pStyle w:val="null3"/>
              <w:ind w:firstLine="241"/>
              <w:jc w:val="left"/>
            </w:pPr>
            <w:r>
              <w:rPr>
                <w:rFonts w:ascii="仿宋_GB2312" w:hAnsi="仿宋_GB2312" w:cs="仿宋_GB2312" w:eastAsia="仿宋_GB2312"/>
                <w:sz w:val="24"/>
                <w:b/>
                <w:color w:val="000000"/>
              </w:rPr>
              <w:t>2.</w:t>
            </w:r>
            <w:r>
              <w:rPr>
                <w:rFonts w:ascii="仿宋_GB2312" w:hAnsi="仿宋_GB2312" w:cs="仿宋_GB2312" w:eastAsia="仿宋_GB2312"/>
                <w:sz w:val="21"/>
              </w:rPr>
              <w:t xml:space="preserve"> </w:t>
            </w:r>
            <w:r>
              <w:rPr>
                <w:rFonts w:ascii="仿宋_GB2312" w:hAnsi="仿宋_GB2312" w:cs="仿宋_GB2312" w:eastAsia="仿宋_GB2312"/>
                <w:sz w:val="24"/>
                <w:b/>
                <w:color w:val="000000"/>
              </w:rPr>
              <w:t>核心产品</w:t>
            </w:r>
          </w:p>
          <w:p>
            <w:pPr>
              <w:pStyle w:val="null3"/>
              <w:jc w:val="left"/>
            </w:pPr>
            <w:r>
              <w:rPr>
                <w:rFonts w:ascii="仿宋_GB2312" w:hAnsi="仿宋_GB2312" w:cs="仿宋_GB2312" w:eastAsia="仿宋_GB2312"/>
                <w:sz w:val="21"/>
                <w:b/>
              </w:rPr>
              <w:t xml:space="preserve">    </w:t>
            </w:r>
            <w:r>
              <w:rPr>
                <w:rFonts w:ascii="仿宋_GB2312" w:hAnsi="仿宋_GB2312" w:cs="仿宋_GB2312" w:eastAsia="仿宋_GB2312"/>
                <w:sz w:val="24"/>
                <w:color w:val="000000"/>
              </w:rPr>
              <w:t>生化需氧量分析检测仪。</w:t>
            </w:r>
          </w:p>
          <w:p>
            <w:pPr>
              <w:pStyle w:val="null3"/>
              <w:ind w:firstLine="241"/>
              <w:jc w:val="left"/>
            </w:pPr>
            <w:r>
              <w:rPr>
                <w:rFonts w:ascii="仿宋_GB2312" w:hAnsi="仿宋_GB2312" w:cs="仿宋_GB2312" w:eastAsia="仿宋_GB2312"/>
                <w:sz w:val="24"/>
                <w:b/>
                <w:color w:val="000000"/>
              </w:rPr>
              <w:t>3.采购清单及技术标准、配置要求：</w:t>
            </w:r>
          </w:p>
          <w:tbl>
            <w:tblPr>
              <w:tblBorders>
                <w:top w:val="none" w:color="000000" w:sz="4"/>
                <w:left w:val="none" w:color="000000" w:sz="4"/>
                <w:bottom w:val="none" w:color="000000" w:sz="4"/>
                <w:right w:val="none" w:color="000000" w:sz="4"/>
                <w:insideH w:val="none"/>
                <w:insideV w:val="none"/>
              </w:tblBorders>
            </w:tblPr>
            <w:tblGrid>
              <w:gridCol w:w="230"/>
              <w:gridCol w:w="403"/>
              <w:gridCol w:w="987"/>
              <w:gridCol w:w="628"/>
              <w:gridCol w:w="291"/>
            </w:tblGrid>
            <w:tr>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产品名称</w:t>
                  </w:r>
                </w:p>
              </w:tc>
              <w:tc>
                <w:tcPr>
                  <w:tcW w:type="dxa" w:w="9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技术标准</w:t>
                  </w:r>
                </w:p>
              </w:tc>
              <w:tc>
                <w:tcPr>
                  <w:tcW w:type="dxa" w:w="6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配置要求</w:t>
                  </w:r>
                </w:p>
              </w:tc>
              <w:tc>
                <w:tcPr>
                  <w:tcW w:type="dxa" w:w="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数量</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生化需氧量分析检测仪</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1.采用微生物传感器快速测定法，满足HJ/T 86-2002标准</w:t>
                  </w:r>
                </w:p>
                <w:p>
                  <w:pPr>
                    <w:pStyle w:val="null3"/>
                    <w:jc w:val="both"/>
                  </w:pPr>
                  <w:r>
                    <w:rPr>
                      <w:rFonts w:ascii="仿宋_GB2312" w:hAnsi="仿宋_GB2312" w:cs="仿宋_GB2312" w:eastAsia="仿宋_GB2312"/>
                      <w:sz w:val="24"/>
                      <w:color w:val="000000"/>
                    </w:rPr>
                    <w:t>2.能够满足城市污水中生化需氧量测试要求</w:t>
                  </w:r>
                </w:p>
                <w:p>
                  <w:pPr>
                    <w:pStyle w:val="null3"/>
                    <w:jc w:val="both"/>
                  </w:pPr>
                  <w:r>
                    <w:rPr>
                      <w:rFonts w:ascii="仿宋_GB2312" w:hAnsi="仿宋_GB2312" w:cs="仿宋_GB2312" w:eastAsia="仿宋_GB2312"/>
                      <w:sz w:val="24"/>
                      <w:color w:val="000000"/>
                    </w:rPr>
                    <w:t>3.仪器进样BOD浓度范围2-100 mg/L</w:t>
                  </w:r>
                </w:p>
                <w:p>
                  <w:pPr>
                    <w:pStyle w:val="null3"/>
                    <w:jc w:val="both"/>
                  </w:pPr>
                  <w:r>
                    <w:rPr>
                      <w:rFonts w:ascii="仿宋_GB2312" w:hAnsi="仿宋_GB2312" w:cs="仿宋_GB2312" w:eastAsia="仿宋_GB2312"/>
                      <w:sz w:val="24"/>
                      <w:color w:val="000000"/>
                    </w:rPr>
                    <w:t>4.测定误差</w:t>
                  </w:r>
                  <w:r>
                    <w:rPr>
                      <w:rFonts w:ascii="仿宋_GB2312" w:hAnsi="仿宋_GB2312" w:cs="仿宋_GB2312" w:eastAsia="仿宋_GB2312"/>
                      <w:sz w:val="21"/>
                      <w:color w:val="000000"/>
                    </w:rPr>
                    <w:t>≤</w:t>
                  </w:r>
                  <w:r>
                    <w:rPr>
                      <w:rFonts w:ascii="仿宋_GB2312" w:hAnsi="仿宋_GB2312" w:cs="仿宋_GB2312" w:eastAsia="仿宋_GB2312"/>
                      <w:sz w:val="24"/>
                      <w:color w:val="000000"/>
                    </w:rPr>
                    <w:t>10%，偏差</w:t>
                  </w:r>
                  <w:r>
                    <w:rPr>
                      <w:rFonts w:ascii="仿宋_GB2312" w:hAnsi="仿宋_GB2312" w:cs="仿宋_GB2312" w:eastAsia="仿宋_GB2312"/>
                      <w:sz w:val="21"/>
                      <w:color w:val="000000"/>
                    </w:rPr>
                    <w:t>≤</w:t>
                  </w:r>
                  <w:r>
                    <w:rPr>
                      <w:rFonts w:ascii="仿宋_GB2312" w:hAnsi="仿宋_GB2312" w:cs="仿宋_GB2312" w:eastAsia="仿宋_GB2312"/>
                      <w:sz w:val="24"/>
                      <w:color w:val="000000"/>
                    </w:rPr>
                    <w:t>10%</w:t>
                  </w:r>
                </w:p>
                <w:p>
                  <w:pPr>
                    <w:pStyle w:val="null3"/>
                    <w:jc w:val="both"/>
                  </w:pPr>
                  <w:r>
                    <w:rPr>
                      <w:rFonts w:ascii="仿宋_GB2312" w:hAnsi="仿宋_GB2312" w:cs="仿宋_GB2312" w:eastAsia="仿宋_GB2312"/>
                      <w:sz w:val="24"/>
                      <w:color w:val="000000"/>
                    </w:rPr>
                    <w:t>5.单个样品平均测试时长</w:t>
                  </w:r>
                  <w:r>
                    <w:rPr>
                      <w:rFonts w:ascii="仿宋_GB2312" w:hAnsi="仿宋_GB2312" w:cs="仿宋_GB2312" w:eastAsia="仿宋_GB2312"/>
                      <w:sz w:val="21"/>
                      <w:color w:val="000000"/>
                    </w:rPr>
                    <w:t>≤</w:t>
                  </w:r>
                  <w:r>
                    <w:rPr>
                      <w:rFonts w:ascii="仿宋_GB2312" w:hAnsi="仿宋_GB2312" w:cs="仿宋_GB2312" w:eastAsia="仿宋_GB2312"/>
                      <w:sz w:val="24"/>
                      <w:color w:val="000000"/>
                    </w:rPr>
                    <w:t>15 min</w:t>
                  </w:r>
                </w:p>
                <w:p>
                  <w:pPr>
                    <w:pStyle w:val="null3"/>
                    <w:jc w:val="both"/>
                  </w:pPr>
                  <w:r>
                    <w:rPr>
                      <w:rFonts w:ascii="仿宋_GB2312" w:hAnsi="仿宋_GB2312" w:cs="仿宋_GB2312" w:eastAsia="仿宋_GB2312"/>
                      <w:sz w:val="24"/>
                      <w:color w:val="000000"/>
                    </w:rPr>
                    <w:t>6.生物电化学反应器数量</w:t>
                  </w:r>
                  <w:r>
                    <w:rPr>
                      <w:rFonts w:ascii="仿宋_GB2312" w:hAnsi="仿宋_GB2312" w:cs="仿宋_GB2312" w:eastAsia="仿宋_GB2312"/>
                      <w:sz w:val="21"/>
                      <w:color w:val="000000"/>
                    </w:rPr>
                    <w:t>≥</w:t>
                  </w:r>
                  <w:r>
                    <w:rPr>
                      <w:rFonts w:ascii="仿宋_GB2312" w:hAnsi="仿宋_GB2312" w:cs="仿宋_GB2312" w:eastAsia="仿宋_GB2312"/>
                      <w:sz w:val="24"/>
                      <w:color w:val="000000"/>
                    </w:rPr>
                    <w:t>7个，能够实现全自动进样</w:t>
                  </w:r>
                </w:p>
                <w:p>
                  <w:pPr>
                    <w:pStyle w:val="null3"/>
                    <w:jc w:val="both"/>
                  </w:pPr>
                  <w:r>
                    <w:rPr>
                      <w:rFonts w:ascii="仿宋_GB2312" w:hAnsi="仿宋_GB2312" w:cs="仿宋_GB2312" w:eastAsia="仿宋_GB2312"/>
                      <w:sz w:val="24"/>
                      <w:color w:val="000000"/>
                    </w:rPr>
                    <w:t>7.最小样品体积</w:t>
                  </w:r>
                  <w:r>
                    <w:rPr>
                      <w:rFonts w:ascii="仿宋_GB2312" w:hAnsi="仿宋_GB2312" w:cs="仿宋_GB2312" w:eastAsia="仿宋_GB2312"/>
                      <w:sz w:val="21"/>
                      <w:color w:val="000000"/>
                    </w:rPr>
                    <w:t>≤</w:t>
                  </w:r>
                  <w:r>
                    <w:rPr>
                      <w:rFonts w:ascii="仿宋_GB2312" w:hAnsi="仿宋_GB2312" w:cs="仿宋_GB2312" w:eastAsia="仿宋_GB2312"/>
                      <w:sz w:val="24"/>
                      <w:color w:val="000000"/>
                    </w:rPr>
                    <w:t>40 mL</w:t>
                  </w:r>
                </w:p>
                <w:p>
                  <w:pPr>
                    <w:pStyle w:val="null3"/>
                    <w:jc w:val="both"/>
                  </w:pPr>
                  <w:r>
                    <w:rPr>
                      <w:rFonts w:ascii="仿宋_GB2312" w:hAnsi="仿宋_GB2312" w:cs="仿宋_GB2312" w:eastAsia="仿宋_GB2312"/>
                      <w:sz w:val="24"/>
                      <w:color w:val="000000"/>
                    </w:rPr>
                    <w:t>8.生物传感器活化后可连续使用1个月以上</w:t>
                  </w:r>
                </w:p>
                <w:p>
                  <w:pPr>
                    <w:pStyle w:val="null3"/>
                    <w:jc w:val="both"/>
                  </w:pPr>
                  <w:r>
                    <w:rPr>
                      <w:rFonts w:ascii="仿宋_GB2312" w:hAnsi="仿宋_GB2312" w:cs="仿宋_GB2312" w:eastAsia="仿宋_GB2312"/>
                      <w:sz w:val="24"/>
                      <w:color w:val="000000"/>
                    </w:rPr>
                    <w:t>9.提供5年以上耗材（传感器芯片、管路、微生物溶液等） 使用</w:t>
                  </w:r>
                </w:p>
                <w:p>
                  <w:pPr>
                    <w:pStyle w:val="null3"/>
                    <w:jc w:val="both"/>
                  </w:pPr>
                  <w:r>
                    <w:rPr>
                      <w:rFonts w:ascii="仿宋_GB2312" w:hAnsi="仿宋_GB2312" w:cs="仿宋_GB2312" w:eastAsia="仿宋_GB2312"/>
                      <w:sz w:val="24"/>
                      <w:color w:val="000000"/>
                    </w:rPr>
                    <w:t>10.能够存储</w:t>
                  </w:r>
                  <w:r>
                    <w:rPr>
                      <w:rFonts w:ascii="仿宋_GB2312" w:hAnsi="仿宋_GB2312" w:cs="仿宋_GB2312" w:eastAsia="仿宋_GB2312"/>
                      <w:sz w:val="21"/>
                      <w:color w:val="000000"/>
                    </w:rPr>
                    <w:t>≥</w:t>
                  </w:r>
                  <w:r>
                    <w:rPr>
                      <w:rFonts w:ascii="仿宋_GB2312" w:hAnsi="仿宋_GB2312" w:cs="仿宋_GB2312" w:eastAsia="仿宋_GB2312"/>
                      <w:sz w:val="24"/>
                      <w:color w:val="000000"/>
                    </w:rPr>
                    <w:t>60组数据，并能够导出</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1.生化需氧量分析检测仪</w:t>
                  </w:r>
                </w:p>
                <w:p>
                  <w:pPr>
                    <w:pStyle w:val="null3"/>
                    <w:jc w:val="both"/>
                  </w:pPr>
                  <w:r>
                    <w:rPr>
                      <w:rFonts w:ascii="仿宋_GB2312" w:hAnsi="仿宋_GB2312" w:cs="仿宋_GB2312" w:eastAsia="仿宋_GB2312"/>
                      <w:sz w:val="24"/>
                      <w:color w:val="000000"/>
                    </w:rPr>
                    <w:t>2.配备微生物电化学反应器</w:t>
                  </w:r>
                  <w:r>
                    <w:rPr>
                      <w:rFonts w:ascii="仿宋_GB2312" w:hAnsi="仿宋_GB2312" w:cs="仿宋_GB2312" w:eastAsia="仿宋_GB2312"/>
                      <w:sz w:val="21"/>
                      <w:color w:val="000000"/>
                    </w:rPr>
                    <w:t>≥</w:t>
                  </w:r>
                  <w:r>
                    <w:rPr>
                      <w:rFonts w:ascii="仿宋_GB2312" w:hAnsi="仿宋_GB2312" w:cs="仿宋_GB2312" w:eastAsia="仿宋_GB2312"/>
                      <w:sz w:val="24"/>
                      <w:color w:val="000000"/>
                    </w:rPr>
                    <w:t>7个</w:t>
                  </w:r>
                </w:p>
                <w:p>
                  <w:pPr>
                    <w:pStyle w:val="null3"/>
                    <w:jc w:val="both"/>
                  </w:pPr>
                  <w:r>
                    <w:rPr>
                      <w:rFonts w:ascii="仿宋_GB2312" w:hAnsi="仿宋_GB2312" w:cs="仿宋_GB2312" w:eastAsia="仿宋_GB2312"/>
                      <w:sz w:val="24"/>
                      <w:color w:val="000000"/>
                    </w:rPr>
                    <w:t>3.产品使用说明及软件操作说明资料1套</w:t>
                  </w:r>
                </w:p>
                <w:p>
                  <w:pPr>
                    <w:pStyle w:val="null3"/>
                    <w:jc w:val="both"/>
                  </w:pPr>
                  <w:r>
                    <w:rPr>
                      <w:rFonts w:ascii="仿宋_GB2312" w:hAnsi="仿宋_GB2312" w:cs="仿宋_GB2312" w:eastAsia="仿宋_GB2312"/>
                      <w:sz w:val="24"/>
                      <w:color w:val="000000"/>
                    </w:rPr>
                    <w:t>4.无显示屏的设备应配备能与仪器链接的数据显示及处理设备。</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r>
          </w:tbl>
          <w:p>
            <w:pPr>
              <w:pStyle w:val="null3"/>
              <w:ind w:firstLine="480"/>
            </w:pPr>
            <w:r>
              <w:rPr>
                <w:rFonts w:ascii="仿宋_GB2312" w:hAnsi="仿宋_GB2312" w:cs="仿宋_GB2312" w:eastAsia="仿宋_GB2312"/>
                <w:sz w:val="24"/>
                <w:color w:val="000000"/>
              </w:rPr>
              <w:t>备注：所有技术参数必须全部满足，其中</w:t>
            </w:r>
            <w:r>
              <w:rPr>
                <w:rFonts w:ascii="仿宋_GB2312" w:hAnsi="仿宋_GB2312" w:cs="仿宋_GB2312" w:eastAsia="仿宋_GB2312"/>
                <w:sz w:val="24"/>
                <w:color w:val="000000"/>
              </w:rPr>
              <w:t>★指标必须提供佐证材料证明（包括但不限于产品彩页、厂家盖章出具的技术白皮书、官网截图等）。不满足或★指标未提供佐证材料视为负偏离，按无效文件处理。</w:t>
            </w:r>
          </w:p>
          <w:p>
            <w:pPr>
              <w:pStyle w:val="null3"/>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其他要求</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投标报价包括设备配套固定件、安装与调试</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仪器配套的微生物电化学反应器使用不短于</w:t>
            </w:r>
            <w:r>
              <w:rPr>
                <w:rFonts w:ascii="仿宋_GB2312" w:hAnsi="仿宋_GB2312" w:cs="仿宋_GB2312" w:eastAsia="仿宋_GB2312"/>
                <w:sz w:val="24"/>
                <w:color w:val="000000"/>
              </w:rPr>
              <w:t>1年，质保期内免费维护；安装完成后安排现场免费培训1次，后续软件免费升级。</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所投产品为成熟商业化产品，不接受处于科研阶段或需定制的产品。</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提供供应商</w:t>
            </w:r>
            <w:r>
              <w:rPr>
                <w:rFonts w:ascii="仿宋_GB2312" w:hAnsi="仿宋_GB2312" w:cs="仿宋_GB2312" w:eastAsia="仿宋_GB2312"/>
                <w:sz w:val="24"/>
                <w:color w:val="000000"/>
              </w:rPr>
              <w:t>202</w:t>
            </w:r>
            <w:r>
              <w:rPr>
                <w:rFonts w:ascii="仿宋_GB2312" w:hAnsi="仿宋_GB2312" w:cs="仿宋_GB2312" w:eastAsia="仿宋_GB2312"/>
                <w:sz w:val="24"/>
                <w:color w:val="000000"/>
              </w:rPr>
              <w:t>2</w:t>
            </w:r>
            <w:r>
              <w:rPr>
                <w:rFonts w:ascii="仿宋_GB2312" w:hAnsi="仿宋_GB2312" w:cs="仿宋_GB2312" w:eastAsia="仿宋_GB2312"/>
                <w:sz w:val="24"/>
                <w:color w:val="000000"/>
              </w:rPr>
              <w:t>年</w:t>
            </w:r>
            <w:r>
              <w:rPr>
                <w:rFonts w:ascii="仿宋_GB2312" w:hAnsi="仿宋_GB2312" w:cs="仿宋_GB2312" w:eastAsia="仿宋_GB2312"/>
                <w:sz w:val="24"/>
                <w:color w:val="000000"/>
              </w:rPr>
              <w:t>1月1日至今同类项目合同（以合同签订日期为准，谈判响应文件中提供合同复印件加盖公章。）</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交货期：合同签订后30个日历日内。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西安建筑科技大学雁塔校区工科楼附体国重实验室215</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签订合同后，设备到达指定地点、安装调试完成并验收合格后，支付合同总价的100%。 最终结算时，乙方须向甲方出具合同总价款的增值税专用发票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采购人、供应商双方共同开箱验收。在检查货物原产地、型号、规格、配置符合合同要求后，由供应商负责安装调试、采购人使用单位负责技术验收（供应商协助），验收以国内行业标准或合同文本货物供货配置清单中描述的有关技术要求为准。 （3）采购人使用单位初验合格后提出验收申请，学校相关部门根据使用单位技术验收结果，组织有关专家进行货物的最终验收。 （4）其他内容按谈判文件、响应文件及合同约定执行。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质保期：验收合格通过之日起3年。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领取成交通知书时，提交纸质谈判响应文件正本壹份、副本贰份、电子版壹份（U盘壹份注明单位名称）编辑目录和页码，内容和通过电子化交易平台实施的政府采购项目提交的谈判响应文件一致。纸质谈判响应文件正副本分别胶装（谈判响应文件建议采用双面打印）。 2、谈判保证金到账（保函提交）截止时间与谈判截止时间一致。 （1）谈判保证金以供应商名称汇款,如以个人汇款，视为无效。 （2）保证金交纳凭证/保函须标明项目编号。 （3）供应商未交纳、未足额交纳或未按规定时间、账号交纳保证金（保函）的，将被视为自动放弃谈判权利。 （4）谈判保证金的交纳单位和供应商的名称必须一致，否则将视为谈判无效。 （5）由于每个项目保证金交纳账号不一样，请各供应商务必仔细核对，由此带来的所有后果由供应商自行承担。 （温馨提示：由于转账当天不一定能够到账，为避免因保证金未到账或延迟到账而导致谈判响应文件符合性审查不通过，建议至少提前1个工作日到账。）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①有效的主体资格证明：具有独立承担民事责任能力的法人、其他组织或自然人，并出具合法有效的营业执照或事业单位法人证书等国家规定的相关证明，自然人参与的提供其身份证明。 ②税收缴纳证明：提供2024年1月至今已缴纳至少一个月的依法缴纳税款的相关凭据（时间以税款所属日期为准），凭据应有税务机关或代收机关的公章或业务专用章。依法免税或无须缴纳税款的投标人，应提供相关证明文件。 ③社会保障资金缴存证明：提供2024年1月至今已缴存的至少一个月的社会保障资金缴存单据或社保机构开具的社会保险参保缴费情况证明，依法不需要缴纳社会保障资金的单位应提供相关证明材料。 ④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 ⑤承诺函：提供具有履行合同所必需的设备和专业技术能力的承诺函。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有效的2023年度或2024年度审计报告（成立时间至提交投标文件截止时间不足一年的可提供成立后任意时段的资产负债表），或提交自2024年6月1日以来银行出具的资信证明，或信用担保机构出具的投标担保函（以上三种形式的资料提供任何一种即可）；其他组织和自然人提供银行出具的资信证明或财务报表。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供应商资格证明文件.docx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法定代表人授权书及被授权人身份证明。（法定代表人直接谈判只须提供其身份证明）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本采购包专门面向中小企业采购，供应商须提供中小企业声明函。</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报价表、分项报价表.docx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响应处理：(1)响应文件未按照采购文件规定要求签署、盖章；(2)不满足本谈判文件中“交货时间、交货地点、采购资金的支付方式及约定、质量保修范围和保修期”的实质性条款要求；(3)谈判有效期不足或无有效期；(4)报价超过谈判文件中规定的最高限价；(5)保证金交纳不符合谈判文件要求；(6)未提供或未填写产品使用寿命承诺函；(7) 未提供供应商2022年1月1日至今同类项目合同（以合同签订日期为准，谈判响应文件中提供合同复印件加盖公章。）；(8)法律、法规和谈判文件规定的其他无效情形。</w:t>
            </w:r>
          </w:p>
        </w:tc>
        <w:tc>
          <w:tcPr>
            <w:tcW w:type="dxa" w:w="1661"/>
          </w:tcPr>
          <w:p>
            <w:pPr>
              <w:pStyle w:val="null3"/>
            </w:pPr>
            <w:r>
              <w:rPr>
                <w:rFonts w:ascii="仿宋_GB2312" w:hAnsi="仿宋_GB2312" w:cs="仿宋_GB2312" w:eastAsia="仿宋_GB2312"/>
              </w:rPr>
              <w:t>中小企业声明函 报价表、分项报价表.docx 供应商承诺书.docx 技术指标偏差表.docx 商务条款响应说明.docx 响应文件封面 残疾人福利性单位声明函 保证金交纳凭证.docx 标的清单 供应商资格证明文件.docx 谈判响应方案说明.docx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详见附件：谈判响应方案说明.docx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详见附件：仪器设备购置合同.docx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