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版本号：SNJZ-2025-10720250429001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中国特殊食品高质量发展交流活动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SNJZ-2025-107</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中国特殊食品高质量发展交流活动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中国特殊食品高质量发展交流活动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中国特殊食品高质量发展交流活动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采购包1（中国特殊食品高质量发展交流活动）：属于专门面向小微企业采购。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3、财务状况报告：提供经审计的2023或2024年度的财务报告或提交磋商响应文件截止时间前十二个月银行资信证明；或政府采购信用担保机构出具的投标担保函。</w:t>
      </w:r>
    </w:p>
    <w:p>
      <w:pPr>
        <w:pStyle w:val="null3"/>
      </w:pPr>
      <w:r>
        <w:rPr>
          <w:rFonts w:ascii="仿宋_GB2312" w:hAnsi="仿宋_GB2312" w:cs="仿宋_GB2312" w:eastAsia="仿宋_GB2312"/>
        </w:rPr>
        <w:t>4、税收缴纳证明：提供磋商响应文件递交截止时间近十二个月内至少一个月已缴纳的纳税凭据或完税证明；依法免税的供应商应提供相关文件证明。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马子啸、崔斌、王力、程钰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国家计委关于印发《招标代理服务收费管理暂行办法》的通知（计价格[2002]1980号）和发改办价格[2003]857号规定，由成交人在领取成交通知书时向代理机构缴纳代理服务费。招标代理服务费采用现金、电汇或银行转账方式交纳，不得采用磋商保证金抵扣。（开户名称：陕西教育招标有限责任公司、开户银行：中 国光大银行陕西自贸试验区西安唐延路支行、账号：78580188000058925、银行行号：303791000136，财务电话：029-88224928）。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中国特殊食品高质量发展交流活动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中国特殊食品高质量发展交流活动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标的名称：中国特殊食品高质量发展交流活动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shd w:fill="FFFFFF" w:val="clear"/>
              </w:rPr>
              <w:t>第十届中国特殊食品大会拟定于</w:t>
            </w:r>
            <w:r>
              <w:rPr>
                <w:rFonts w:ascii="仿宋_GB2312" w:hAnsi="仿宋_GB2312" w:cs="仿宋_GB2312" w:eastAsia="仿宋_GB2312"/>
                <w:sz w:val="24"/>
                <w:shd w:fill="FFFFFF" w:val="clear"/>
              </w:rPr>
              <w:t>2025年10月23日-26日在陕西省西安市西安国际会议中心举办。届时举办中国特殊食品高质量发展交流活动，会期4天。</w:t>
            </w:r>
          </w:p>
          <w:p>
            <w:pPr>
              <w:pStyle w:val="null3"/>
              <w:ind w:firstLine="480"/>
              <w:jc w:val="both"/>
            </w:pPr>
            <w:r>
              <w:rPr>
                <w:rFonts w:ascii="仿宋_GB2312" w:hAnsi="仿宋_GB2312" w:cs="仿宋_GB2312" w:eastAsia="仿宋_GB2312"/>
                <w:sz w:val="24"/>
                <w:shd w:fill="FFFFFF" w:val="clear"/>
              </w:rPr>
              <w:t>1.交流活动举办目标</w:t>
            </w:r>
          </w:p>
          <w:p>
            <w:pPr>
              <w:pStyle w:val="null3"/>
              <w:ind w:firstLine="480"/>
              <w:jc w:val="both"/>
            </w:pPr>
            <w:r>
              <w:rPr>
                <w:rFonts w:ascii="仿宋_GB2312" w:hAnsi="仿宋_GB2312" w:cs="仿宋_GB2312" w:eastAsia="仿宋_GB2312"/>
                <w:sz w:val="24"/>
                <w:shd w:fill="FFFFFF" w:val="clear"/>
              </w:rPr>
              <w:t>搭建政府、企业、科研机构合作平台，推动特殊食品行业技术创新与政策落地。</w:t>
            </w:r>
          </w:p>
          <w:p>
            <w:pPr>
              <w:pStyle w:val="null3"/>
              <w:ind w:firstLine="480"/>
              <w:jc w:val="both"/>
            </w:pPr>
            <w:r>
              <w:rPr>
                <w:rFonts w:ascii="仿宋_GB2312" w:hAnsi="仿宋_GB2312" w:cs="仿宋_GB2312" w:eastAsia="仿宋_GB2312"/>
                <w:sz w:val="24"/>
                <w:shd w:fill="FFFFFF" w:val="clear"/>
              </w:rPr>
              <w:t>通过交流活动（含开幕式、分论坛、展览、闭门研讨等），促进产学研融合与市场拓展。</w:t>
            </w:r>
          </w:p>
          <w:p>
            <w:pPr>
              <w:pStyle w:val="null3"/>
              <w:ind w:firstLine="480"/>
              <w:jc w:val="both"/>
            </w:pPr>
            <w:r>
              <w:rPr>
                <w:rFonts w:ascii="仿宋_GB2312" w:hAnsi="仿宋_GB2312" w:cs="仿宋_GB2312" w:eastAsia="仿宋_GB2312"/>
                <w:sz w:val="24"/>
                <w:shd w:fill="FFFFFF" w:val="clear"/>
              </w:rPr>
              <w:t>形成行业成果报告及合作意向书，提升公众对特殊食品的认知。</w:t>
            </w:r>
          </w:p>
          <w:p>
            <w:pPr>
              <w:pStyle w:val="null3"/>
              <w:ind w:firstLine="480"/>
              <w:jc w:val="both"/>
            </w:pPr>
            <w:r>
              <w:rPr>
                <w:rFonts w:ascii="仿宋_GB2312" w:hAnsi="仿宋_GB2312" w:cs="仿宋_GB2312" w:eastAsia="仿宋_GB2312"/>
                <w:sz w:val="24"/>
                <w:shd w:fill="FFFFFF" w:val="clear"/>
              </w:rPr>
              <w:t>2.服务内容</w:t>
            </w:r>
          </w:p>
          <w:p>
            <w:pPr>
              <w:pStyle w:val="null3"/>
              <w:ind w:firstLine="480"/>
              <w:jc w:val="both"/>
            </w:pPr>
            <w:r>
              <w:rPr>
                <w:rFonts w:ascii="仿宋_GB2312" w:hAnsi="仿宋_GB2312" w:cs="仿宋_GB2312" w:eastAsia="仿宋_GB2312"/>
                <w:sz w:val="24"/>
                <w:shd w:fill="FFFFFF" w:val="clear"/>
              </w:rPr>
              <w:t>★2.1活动场地租赁及搭建：</w:t>
            </w:r>
          </w:p>
          <w:p>
            <w:pPr>
              <w:pStyle w:val="null3"/>
              <w:ind w:firstLine="480"/>
              <w:jc w:val="both"/>
            </w:pPr>
            <w:r>
              <w:rPr>
                <w:rFonts w:ascii="仿宋_GB2312" w:hAnsi="仿宋_GB2312" w:cs="仿宋_GB2312" w:eastAsia="仿宋_GB2312"/>
                <w:sz w:val="24"/>
                <w:shd w:fill="FFFFFF" w:val="clear"/>
              </w:rPr>
              <w:t>场地要求：西安国际会议中心</w:t>
            </w:r>
          </w:p>
          <w:p>
            <w:pPr>
              <w:pStyle w:val="null3"/>
              <w:ind w:firstLine="480"/>
              <w:jc w:val="both"/>
            </w:pPr>
            <w:r>
              <w:rPr>
                <w:rFonts w:ascii="仿宋_GB2312" w:hAnsi="仿宋_GB2312" w:cs="仿宋_GB2312" w:eastAsia="仿宋_GB2312"/>
                <w:sz w:val="24"/>
                <w:shd w:fill="FFFFFF" w:val="clear"/>
              </w:rPr>
              <w:t>场地一，</w:t>
            </w:r>
            <w:r>
              <w:rPr>
                <w:rFonts w:ascii="仿宋_GB2312" w:hAnsi="仿宋_GB2312" w:cs="仿宋_GB2312" w:eastAsia="仿宋_GB2312"/>
                <w:sz w:val="24"/>
                <w:shd w:fill="FFFFFF" w:val="clear"/>
              </w:rPr>
              <w:t>2000-2300平米</w:t>
            </w:r>
          </w:p>
          <w:p>
            <w:pPr>
              <w:pStyle w:val="null3"/>
              <w:ind w:firstLine="480"/>
              <w:jc w:val="both"/>
            </w:pPr>
            <w:r>
              <w:rPr>
                <w:rFonts w:ascii="仿宋_GB2312" w:hAnsi="仿宋_GB2312" w:cs="仿宋_GB2312" w:eastAsia="仿宋_GB2312"/>
                <w:sz w:val="24"/>
                <w:shd w:fill="FFFFFF" w:val="clear"/>
              </w:rPr>
              <w:t>场地二，</w:t>
            </w:r>
            <w:r>
              <w:rPr>
                <w:rFonts w:ascii="仿宋_GB2312" w:hAnsi="仿宋_GB2312" w:cs="仿宋_GB2312" w:eastAsia="仿宋_GB2312"/>
                <w:sz w:val="24"/>
                <w:shd w:fill="FFFFFF" w:val="clear"/>
              </w:rPr>
              <w:t>600-1000平米</w:t>
            </w:r>
          </w:p>
          <w:p>
            <w:pPr>
              <w:pStyle w:val="null3"/>
              <w:ind w:firstLine="480"/>
              <w:jc w:val="both"/>
            </w:pPr>
            <w:r>
              <w:rPr>
                <w:rFonts w:ascii="仿宋_GB2312" w:hAnsi="仿宋_GB2312" w:cs="仿宋_GB2312" w:eastAsia="仿宋_GB2312"/>
                <w:sz w:val="24"/>
                <w:shd w:fill="FFFFFF" w:val="clear"/>
              </w:rPr>
              <w:t>含搭建，舞台、灯光、音响、</w:t>
            </w:r>
            <w:r>
              <w:rPr>
                <w:rFonts w:ascii="仿宋_GB2312" w:hAnsi="仿宋_GB2312" w:cs="仿宋_GB2312" w:eastAsia="仿宋_GB2312"/>
                <w:sz w:val="24"/>
                <w:shd w:fill="FFFFFF" w:val="clear"/>
              </w:rPr>
              <w:t>LED屏等。</w:t>
            </w:r>
          </w:p>
          <w:p>
            <w:pPr>
              <w:pStyle w:val="null3"/>
              <w:ind w:firstLine="480"/>
              <w:jc w:val="both"/>
            </w:pPr>
            <w:r>
              <w:rPr>
                <w:rFonts w:ascii="仿宋_GB2312" w:hAnsi="仿宋_GB2312" w:cs="仿宋_GB2312" w:eastAsia="仿宋_GB2312"/>
                <w:sz w:val="24"/>
                <w:shd w:fill="FFFFFF" w:val="clear"/>
              </w:rPr>
              <w:t>租赁周期：场地一连续</w:t>
            </w:r>
            <w:r>
              <w:rPr>
                <w:rFonts w:ascii="仿宋_GB2312" w:hAnsi="仿宋_GB2312" w:cs="仿宋_GB2312" w:eastAsia="仿宋_GB2312"/>
                <w:sz w:val="24"/>
                <w:shd w:fill="FFFFFF" w:val="clear"/>
              </w:rPr>
              <w:t>4天，场地二连续3天，不含布场及撤场时间。</w:t>
            </w:r>
          </w:p>
          <w:p>
            <w:pPr>
              <w:pStyle w:val="null3"/>
              <w:ind w:firstLine="480"/>
              <w:jc w:val="both"/>
            </w:pPr>
            <w:r>
              <w:rPr>
                <w:rFonts w:ascii="仿宋_GB2312" w:hAnsi="仿宋_GB2312" w:cs="仿宋_GB2312" w:eastAsia="仿宋_GB2312"/>
                <w:sz w:val="24"/>
                <w:shd w:fill="FFFFFF" w:val="clear"/>
              </w:rPr>
              <w:t>★2.2住宿服务：</w:t>
            </w:r>
          </w:p>
          <w:p>
            <w:pPr>
              <w:pStyle w:val="null3"/>
              <w:ind w:firstLine="480"/>
              <w:jc w:val="both"/>
            </w:pPr>
            <w:r>
              <w:rPr>
                <w:rFonts w:ascii="仿宋_GB2312" w:hAnsi="仿宋_GB2312" w:cs="仿宋_GB2312" w:eastAsia="仿宋_GB2312"/>
                <w:sz w:val="24"/>
                <w:shd w:fill="FFFFFF" w:val="clear"/>
              </w:rPr>
              <w:t>提供</w:t>
            </w:r>
            <w:r>
              <w:rPr>
                <w:rFonts w:ascii="仿宋_GB2312" w:hAnsi="仿宋_GB2312" w:cs="仿宋_GB2312" w:eastAsia="仿宋_GB2312"/>
                <w:sz w:val="24"/>
                <w:shd w:fill="FFFFFF" w:val="clear"/>
              </w:rPr>
              <w:t>50间标准客房，需覆盖3晚住宿（含早餐）。</w:t>
            </w:r>
          </w:p>
          <w:p>
            <w:pPr>
              <w:pStyle w:val="null3"/>
              <w:ind w:firstLine="480"/>
              <w:jc w:val="both"/>
            </w:pPr>
            <w:r>
              <w:rPr>
                <w:rFonts w:ascii="仿宋_GB2312" w:hAnsi="仿宋_GB2312" w:cs="仿宋_GB2312" w:eastAsia="仿宋_GB2312"/>
                <w:sz w:val="24"/>
                <w:shd w:fill="FFFFFF" w:val="clear"/>
              </w:rPr>
              <w:t>2.3其他配套服务：</w:t>
            </w:r>
          </w:p>
          <w:p>
            <w:pPr>
              <w:pStyle w:val="null3"/>
              <w:ind w:firstLine="480"/>
              <w:jc w:val="both"/>
            </w:pPr>
            <w:r>
              <w:rPr>
                <w:rFonts w:ascii="仿宋_GB2312" w:hAnsi="仿宋_GB2312" w:cs="仿宋_GB2312" w:eastAsia="仿宋_GB2312"/>
                <w:sz w:val="24"/>
                <w:shd w:fill="FFFFFF" w:val="clear"/>
              </w:rPr>
              <w:t>嘉宾接待、餐饮安排（含茶歇及工作餐）、宣传推广、安全保障等。</w:t>
            </w:r>
          </w:p>
          <w:p>
            <w:pPr>
              <w:pStyle w:val="null3"/>
              <w:ind w:firstLine="480"/>
              <w:jc w:val="both"/>
            </w:pPr>
            <w:r>
              <w:rPr>
                <w:rFonts w:ascii="仿宋_GB2312" w:hAnsi="仿宋_GB2312" w:cs="仿宋_GB2312" w:eastAsia="仿宋_GB2312"/>
                <w:sz w:val="24"/>
                <w:shd w:fill="FFFFFF" w:val="clear"/>
              </w:rPr>
              <w:t>3.服务要求：</w:t>
            </w:r>
          </w:p>
          <w:p>
            <w:pPr>
              <w:pStyle w:val="null3"/>
              <w:ind w:firstLine="480"/>
              <w:jc w:val="both"/>
            </w:pPr>
            <w:r>
              <w:rPr>
                <w:rFonts w:ascii="仿宋_GB2312" w:hAnsi="仿宋_GB2312" w:cs="仿宋_GB2312" w:eastAsia="仿宋_GB2312"/>
                <w:sz w:val="24"/>
                <w:shd w:fill="FFFFFF" w:val="clear"/>
              </w:rPr>
              <w:t>供应商需提供活动全程策划，明确项目准备阶段、实施阶段以及收尾阶段的总体工作安排，进度计划等内容。</w:t>
            </w:r>
          </w:p>
          <w:p>
            <w:pPr>
              <w:pStyle w:val="null3"/>
              <w:ind w:firstLine="480"/>
              <w:jc w:val="both"/>
            </w:pPr>
            <w:r>
              <w:rPr>
                <w:rFonts w:ascii="仿宋_GB2312" w:hAnsi="仿宋_GB2312" w:cs="仿宋_GB2312" w:eastAsia="仿宋_GB2312"/>
                <w:sz w:val="24"/>
                <w:shd w:fill="FFFFFF" w:val="clear"/>
              </w:rPr>
              <w:t>供应商应按规定时间完成场地搭建工作和会场布置。供应商应对活动场所进行规划和设计，明确需要的设备，如舞台、灯光、音响、</w:t>
            </w:r>
            <w:r>
              <w:rPr>
                <w:rFonts w:ascii="仿宋_GB2312" w:hAnsi="仿宋_GB2312" w:cs="仿宋_GB2312" w:eastAsia="仿宋_GB2312"/>
                <w:sz w:val="24"/>
                <w:shd w:fill="FFFFFF" w:val="clear"/>
              </w:rPr>
              <w:t>LED屏等，提供会场设计方案，包括内、外场视觉设计、环境营造、制作和现场布置安装（包含主画面、欢迎造型、欢迎背板、签到处、指引、水道旗等相关内容），最终场地搭建和会场布置方案应在采购人确认后实施。</w:t>
            </w:r>
          </w:p>
          <w:p>
            <w:pPr>
              <w:pStyle w:val="null3"/>
              <w:ind w:firstLine="480"/>
              <w:jc w:val="both"/>
            </w:pPr>
            <w:r>
              <w:rPr>
                <w:rFonts w:ascii="仿宋_GB2312" w:hAnsi="仿宋_GB2312" w:cs="仿宋_GB2312" w:eastAsia="仿宋_GB2312"/>
                <w:sz w:val="24"/>
                <w:shd w:fill="FFFFFF" w:val="clear"/>
              </w:rPr>
              <w:t>针对服务要求提供物料设计及制作，物料类型应满足交流活动各环节使用需求，保障会议正常举行。</w:t>
            </w:r>
          </w:p>
          <w:p>
            <w:pPr>
              <w:pStyle w:val="null3"/>
              <w:ind w:firstLine="480"/>
              <w:jc w:val="both"/>
            </w:pPr>
            <w:r>
              <w:rPr>
                <w:rFonts w:ascii="仿宋_GB2312" w:hAnsi="仿宋_GB2312" w:cs="仿宋_GB2312" w:eastAsia="仿宋_GB2312"/>
                <w:sz w:val="24"/>
                <w:shd w:fill="FFFFFF" w:val="clear"/>
              </w:rPr>
              <w:t>供应商应具备大型活动组织所需的团队、接待能力。</w:t>
            </w:r>
          </w:p>
          <w:p>
            <w:pPr>
              <w:pStyle w:val="null3"/>
              <w:jc w:val="both"/>
            </w:pPr>
            <w:r>
              <w:rPr>
                <w:rFonts w:ascii="仿宋_GB2312" w:hAnsi="仿宋_GB2312" w:cs="仿宋_GB2312" w:eastAsia="仿宋_GB2312"/>
                <w:sz w:val="24"/>
                <w:shd w:fill="FFFFFF" w:val="clear"/>
              </w:rPr>
              <w:t>供应商应具备应急预案、医疗保障、交通协调及撤场等方案，以确保项目顺利实施。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合同签订之日起到项目结束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 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提供经审计的2023或2024年度的财务报告或提交磋商响应文件截止时间前十二个月银行资信证明；或政府采购信用担保机构出具的投标担保函。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服务内容及服务邀请应答表 拒绝商业贿赂承诺书.docx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一、评审内容 根据项目要求提供项目策划方案，方案包括：①总体工作安排，②进度计划，③工作重点任务分析及应对措施 二、评审标准 1.完整性：内容全面，没有漏项； 2.准确性：描述准确，没有实质性错误、前后矛盾或明显的描述及逻辑错误； 3.可实施性：切合本项目实际情况，不存在于项目无关的内容或内容不符合本项目采购需求的情况； 4.针对性：方案能够紧扣项目实际情况，不存在套用其他项目方案内容的情况； 三、赋分标准 ①总体工作安排：4项评分标准，每项标准完全满足得1分，存在瑕疵0.5分，存在缺陷0分。满分4分。 ②进度计划：4项评分标准，每项标准完全满足得1分，存在瑕疵得0.5分，存在缺陷得0分。满分4分。 ③工作重点任务分析及应对措施：4项评分标准，每项标准完全满足得1分，存在瑕疵0.5分，存在缺陷0分。满分4分。 瑕疵是指存在不完全满足评分标准，但项目仍可实施。缺陷是指为不满足评分标准，严重影响项目实施。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场地规划</w:t>
            </w:r>
          </w:p>
        </w:tc>
        <w:tc>
          <w:tcPr>
            <w:tcW w:type="dxa" w:w="2492"/>
          </w:tcPr>
          <w:p>
            <w:pPr>
              <w:pStyle w:val="null3"/>
            </w:pPr>
            <w:r>
              <w:rPr>
                <w:rFonts w:ascii="仿宋_GB2312" w:hAnsi="仿宋_GB2312" w:cs="仿宋_GB2312" w:eastAsia="仿宋_GB2312"/>
              </w:rPr>
              <w:t>一、评审内容 根据项目要求提供项目策划方案，方案包括：①内场设计，②设备搭建，③外场设计。 二、评审标准 1.完整性：内容全面，没有漏项； 2.准确性：描述准确，没有实质性错误、前后矛盾或明显的描述及逻辑错误； 3.可实施性：切合本项目实际情况，不存在于项目无关的内容或内容不符合本项目采购需求的情况、 4.针对性：方案能够紧扣项目实际情况，不存在套用其他项目方案内容的情况； 三、赋分标准 ①会场设计：4项评分标准，每项标准完全满足得1分，存在瑕疵0.5分，存在缺陷0分。满分4分。 ②设备搭建：4项评分标准，每项标准完全满足得1分，存在瑕疵0.5分，存在缺陷0分。满分4分。 ③外场设计：4项评分标准，每项标准完全满足得1分，存在瑕疵0.5分，存在缺陷0分。满分4分。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物料设计</w:t>
            </w:r>
          </w:p>
        </w:tc>
        <w:tc>
          <w:tcPr>
            <w:tcW w:type="dxa" w:w="2492"/>
          </w:tcPr>
          <w:p>
            <w:pPr>
              <w:pStyle w:val="null3"/>
            </w:pPr>
            <w:r>
              <w:rPr>
                <w:rFonts w:ascii="仿宋_GB2312" w:hAnsi="仿宋_GB2312" w:cs="仿宋_GB2312" w:eastAsia="仿宋_GB2312"/>
              </w:rPr>
              <w:t>一、评审内容 根据项目要求提供项目物料设计制作方案。 二、评审标准 1.完整性：内容全面，没有漏项； 2.准确性：描述准确，没有实质性错误、前后矛盾或明显的描述及逻辑错误； 3.可实施性：切合本项目实际情况，不存在于项目无关的内容或内容不符合本项目采购需求的情况、 4.针对性：方案能够紧扣项目实际情况，不存在套用其他项目方案内容的情况； 三、赋分标准 4项评分标准，每项标准完全满足得1分，存在瑕疵0.5分，存在缺陷0分。满分4分。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住宿服务</w:t>
            </w:r>
          </w:p>
        </w:tc>
        <w:tc>
          <w:tcPr>
            <w:tcW w:type="dxa" w:w="2492"/>
          </w:tcPr>
          <w:p>
            <w:pPr>
              <w:pStyle w:val="null3"/>
            </w:pPr>
            <w:r>
              <w:rPr>
                <w:rFonts w:ascii="仿宋_GB2312" w:hAnsi="仿宋_GB2312" w:cs="仿宋_GB2312" w:eastAsia="仿宋_GB2312"/>
              </w:rPr>
              <w:t>一、评审内容 根据项目要求提供项目住宿服务。 二、评审及赋分标准 1.住宿条件：四星级及以上5分，三星级3分，三星级以下0分。 2.交通环境：距离活动现场3公里以内得2分，3公里以上0分。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根据项目要求提供项目服务团队配置方案赋分。①团队构架②人员配置 二、评审标准 1.科学性：设置合理、分工明确； 2.针对性：设置紧扣项目实际情况，不存在套用其他项目方案内容的情况； ③完整性：提供团队人员简历，包括但不限于学历、职称、专业技术能力等，并提供证明材料。 三、赋分标准 ①团队构架：针对评分标准1、2赋分，共两个赋分项。每项标准完全满足得2分，存在瑕疵1分，存在缺陷0分。满分4分。 ②人员配置：针对评分标准1、2、3赋分，共三个赋分项。每项标准完全满足得2分，存在瑕疵1分，存在缺陷0分。满分6分。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根据项目要求提供服务保障方案，包括①应急预案、②医疗保障、③交通协调、④撤场。 二、评审标准 1.完整性：内容全面，没有漏项； 2.准确性：描述准确，没有实质性错误、前后矛盾或明显的描述及逻辑错误； 3.可实施性：切合本项目实际情况，不存在于项目无关的内容或内容不符合本项目采购需求的情况、 4.针对性：方案能够紧扣项目实际情况，不存在套用其他项目方案内容的情况； 5.衔接性：与活动整体方案、场地管理、外部体系协调一致； 三、赋分标准 ①应急预案：4项评分标准，每项标准完全满足得1分，存在瑕疵0.5分，存在缺陷0分。满分4分。 ②医疗保障：4项评分标准，每项标准完全满足得1分，存在瑕疵0.5分，存在缺陷0分。满分4分。 ③交通协调：4项评分标准，每项标准完全满足得1分，存在瑕疵0.5分，存在缺陷0分。满分4分。 ④撤场：4项评分标准，每项标准完全满足得1分，存在瑕疵0.5分，存在缺陷0分。满分4分。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提供自2020年1月1日以来供应商承担的同类（大型活动、展览展示）项目业绩，每提供1个得5分,最高25分（合同复印件加盖公章）。不提供不得分。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同类业绩证明材料.docx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详见附件：同类业绩证明材料.docx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