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版本号：ZXGJ-HT-[FW]-251120250509001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陕西省驾驶员培训监管服务平台维护项目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ZXGJ-HT-[FW]-2511</w:t>
      </w:r>
      <w:r>
        <w:br/>
      </w:r>
      <w:r>
        <w:br/>
      </w:r>
      <w:r>
        <w:br/>
      </w:r>
    </w:p>
    <w:p>
      <w:pPr>
        <w:pStyle w:val="null3"/>
        <w:jc w:val="center"/>
        <w:outlineLvl w:val="2"/>
      </w:pPr>
      <w:r>
        <w:rPr>
          <w:rFonts w:ascii="仿宋_GB2312" w:hAnsi="仿宋_GB2312" w:cs="仿宋_GB2312" w:eastAsia="仿宋_GB2312"/>
          <w:sz w:val="28"/>
          <w:b/>
        </w:rPr>
        <w:t>陕西省道路运输事业发展中心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陕西省道路运输事业发展中心</w:t>
      </w:r>
      <w:r>
        <w:rPr>
          <w:rFonts w:ascii="仿宋_GB2312" w:hAnsi="仿宋_GB2312" w:cs="仿宋_GB2312" w:eastAsia="仿宋_GB2312"/>
        </w:rPr>
        <w:t>委托，拟对</w:t>
      </w:r>
      <w:r>
        <w:rPr>
          <w:rFonts w:ascii="仿宋_GB2312" w:hAnsi="仿宋_GB2312" w:cs="仿宋_GB2312" w:eastAsia="仿宋_GB2312"/>
        </w:rPr>
        <w:t>陕西省驾驶员培训监管服务平台维护项目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陕西省驾驶员培训监管服务平台维护项目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本项目维护包括陕西省驾驶培训监管服务平台、陕西省机动车驾驶员培训公共服务平台和陕西省机动车驾驶员培训机构信息互动平台。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采购包1（陕西省驾驶员培训监管服务平台维护项目）：属于专门面向中小企业采购。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2、书面声明：提供书面声明，包括声明具有履行合同所必需的设备和专业技术能力</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中国执行信息公开网”网站记录的“失信被执行人”或“信用中国”网站记录的“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法定代表人授权委托书：法定代表人参加磋商的，须提供法定代表人证明书；法定代表人授权他人参加磋商的，须提供法定代表人证明书及法定代表人授权委托书；同时提供授权委托书中被委托人员递交响应文件截止之日前连续6个月的社会保险缴纳证明（入职未满6个月，按实际入职时间提供社会保险缴纳证明；若入职时间短未缴纳社会保险，需提供劳动合同），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8、本项目不接受联合体磋商，不允许分包：供应商应提供《非联合体不分包磋商声明》，视为独立磋商，不分包。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陕西省道路运输事业发展中心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黄钊、马小莉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029-87325933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朱明坤、黄瑞、王超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说明：缴纳合同总价款5%履约保证金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下浮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陕西省道路运输事业发展中心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陕西省道路运输事业发展中心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陕西省道路运输事业发展中心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联系人：朱明坤、黄瑞</w:t>
      </w:r>
    </w:p>
    <w:p>
      <w:pPr>
        <w:pStyle w:val="null3"/>
      </w:pPr>
      <w:r>
        <w:rPr>
          <w:rFonts w:ascii="仿宋_GB2312" w:hAnsi="仿宋_GB2312" w:cs="仿宋_GB2312" w:eastAsia="仿宋_GB2312"/>
        </w:rPr>
        <w:t>联系电话： 029-82288877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本项目维护包括陕西省驾驶培训监管服务平台、陕西省机动车驾驶员培训公共服务平台和陕西省机动车驾驶员培训机构信息互动平台。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驾驶员培训监管服务平台维护项目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标的名称：驾驶员培训监管服务平台维护项目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left"/>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总体要求</w:t>
            </w:r>
          </w:p>
          <w:p>
            <w:pPr>
              <w:pStyle w:val="null3"/>
              <w:ind w:firstLine="480"/>
              <w:jc w:val="left"/>
            </w:pPr>
            <w:r>
              <w:rPr>
                <w:rFonts w:ascii="仿宋_GB2312" w:hAnsi="仿宋_GB2312" w:cs="仿宋_GB2312" w:eastAsia="仿宋_GB2312"/>
                <w:sz w:val="24"/>
                <w:color w:val="000000"/>
              </w:rPr>
              <w:t>供应商为陕西省道路运输事业发展中心提供陕西省驾驶员培训监管服务平台运维服务。供应商应为服务范围内的系统硬件、应用系统提供包括日常运维、网络优化、数据服务、应急响应在内的整体服务。</w:t>
            </w:r>
          </w:p>
          <w:p>
            <w:pPr>
              <w:pStyle w:val="null3"/>
              <w:ind w:firstLine="480"/>
              <w:jc w:val="left"/>
            </w:pPr>
            <w:r>
              <w:rPr>
                <w:rFonts w:ascii="仿宋_GB2312" w:hAnsi="仿宋_GB2312" w:cs="仿宋_GB2312" w:eastAsia="仿宋_GB2312"/>
                <w:sz w:val="24"/>
                <w:color w:val="000000"/>
              </w:rPr>
              <w:t>文件中所列本项目运维服务要求为本项目最基本要求，供应商应根据其专业能力及实践经验在本文件要求的基础上进行深化和优化，以更好满足陕西省道路运输事业发展中心的目标要求。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可用性要求</w:t>
            </w:r>
          </w:p>
          <w:p>
            <w:pPr>
              <w:pStyle w:val="null3"/>
              <w:ind w:firstLine="480"/>
              <w:jc w:val="left"/>
            </w:pPr>
            <w:r>
              <w:rPr>
                <w:rFonts w:ascii="仿宋_GB2312" w:hAnsi="仿宋_GB2312" w:cs="仿宋_GB2312" w:eastAsia="仿宋_GB2312"/>
                <w:sz w:val="24"/>
                <w:color w:val="000000"/>
              </w:rPr>
              <w:t>网络系统：连续工作无阻断，可用率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服务器、存储：连续工作，可用率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数据：数据完整，安全可用，可用率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不出现因运行环境原因造成用户业务数据丢失事件。</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及时性要求</w:t>
            </w:r>
          </w:p>
          <w:p>
            <w:pPr>
              <w:pStyle w:val="null3"/>
              <w:ind w:firstLine="480"/>
              <w:jc w:val="left"/>
            </w:pPr>
            <w:r>
              <w:rPr>
                <w:rFonts w:ascii="仿宋_GB2312" w:hAnsi="仿宋_GB2312" w:cs="仿宋_GB2312" w:eastAsia="仿宋_GB2312"/>
                <w:sz w:val="24"/>
                <w:color w:val="000000"/>
              </w:rPr>
              <w:t>事件响应及时率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事件解决率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满意度要求</w:t>
            </w:r>
          </w:p>
          <w:p>
            <w:pPr>
              <w:pStyle w:val="null3"/>
              <w:ind w:firstLine="480"/>
              <w:jc w:val="left"/>
            </w:pPr>
            <w:r>
              <w:rPr>
                <w:rFonts w:ascii="仿宋_GB2312" w:hAnsi="仿宋_GB2312" w:cs="仿宋_GB2312" w:eastAsia="仿宋_GB2312"/>
                <w:sz w:val="24"/>
                <w:color w:val="000000"/>
              </w:rPr>
              <w:t>服务投诉事件：用户对运维服务不满意并提出投诉事件月度不超过</w:t>
            </w:r>
            <w:r>
              <w:rPr>
                <w:rFonts w:ascii="仿宋_GB2312" w:hAnsi="仿宋_GB2312" w:cs="仿宋_GB2312" w:eastAsia="仿宋_GB2312"/>
                <w:sz w:val="24"/>
                <w:color w:val="000000"/>
              </w:rPr>
              <w:t>4次。</w:t>
            </w:r>
          </w:p>
          <w:p>
            <w:pPr>
              <w:pStyle w:val="null3"/>
              <w:ind w:firstLine="480"/>
              <w:jc w:val="left"/>
            </w:pPr>
            <w:r>
              <w:rPr>
                <w:rFonts w:ascii="仿宋_GB2312" w:hAnsi="仿宋_GB2312" w:cs="仿宋_GB2312" w:eastAsia="仿宋_GB2312"/>
                <w:sz w:val="24"/>
                <w:color w:val="000000"/>
              </w:rPr>
              <w:t>整体服务满意度调查</w:t>
            </w:r>
            <w:r>
              <w:rPr>
                <w:rFonts w:ascii="仿宋_GB2312" w:hAnsi="仿宋_GB2312" w:cs="仿宋_GB2312" w:eastAsia="仿宋_GB2312"/>
                <w:sz w:val="24"/>
                <w:color w:val="000000"/>
              </w:rPr>
              <w:t>≥90%。服务满意度考核标准：事件记录、巡检记录等服务输出物的综合评价满意度≥90%。</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运维服务内容</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平台产品运维</w:t>
            </w:r>
          </w:p>
          <w:p>
            <w:pPr>
              <w:pStyle w:val="null3"/>
              <w:ind w:firstLine="480"/>
              <w:jc w:val="left"/>
            </w:pPr>
            <w:r>
              <w:rPr>
                <w:rFonts w:ascii="仿宋_GB2312" w:hAnsi="仿宋_GB2312" w:cs="仿宋_GB2312" w:eastAsia="仿宋_GB2312"/>
                <w:sz w:val="24"/>
                <w:color w:val="000000"/>
              </w:rPr>
              <w:t>本项目主要以平台系统运行的操作系统、网络、数据库、存储、驾培应用系统、接口服务等环境进行监测和维护支持。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故障处理</w:t>
            </w:r>
          </w:p>
          <w:p>
            <w:pPr>
              <w:pStyle w:val="null3"/>
              <w:ind w:firstLine="480"/>
              <w:jc w:val="left"/>
            </w:pPr>
            <w:r>
              <w:rPr>
                <w:rFonts w:ascii="仿宋_GB2312" w:hAnsi="仿宋_GB2312" w:cs="仿宋_GB2312" w:eastAsia="仿宋_GB2312"/>
                <w:sz w:val="24"/>
                <w:color w:val="000000"/>
              </w:rPr>
              <w:t>针对平台产品日常运行和使用过程中的各类故障和问题进行处理。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日常巡检</w:t>
            </w:r>
          </w:p>
          <w:p>
            <w:pPr>
              <w:pStyle w:val="null3"/>
              <w:ind w:firstLine="480"/>
              <w:jc w:val="left"/>
            </w:pPr>
            <w:r>
              <w:rPr>
                <w:rFonts w:ascii="仿宋_GB2312" w:hAnsi="仿宋_GB2312" w:cs="仿宋_GB2312" w:eastAsia="仿宋_GB2312"/>
                <w:sz w:val="24"/>
                <w:color w:val="000000"/>
              </w:rPr>
              <w:t>提供系统日常巡检服务，针对系统功能、性能、运行状态等进行巡检和维护，保障系统正常运行。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性能优化</w:t>
            </w:r>
          </w:p>
          <w:p>
            <w:pPr>
              <w:pStyle w:val="null3"/>
              <w:ind w:firstLine="480"/>
              <w:jc w:val="left"/>
            </w:pPr>
            <w:r>
              <w:rPr>
                <w:rFonts w:ascii="仿宋_GB2312" w:hAnsi="仿宋_GB2312" w:cs="仿宋_GB2312" w:eastAsia="仿宋_GB2312"/>
                <w:sz w:val="24"/>
                <w:color w:val="000000"/>
              </w:rPr>
              <w:t>根据产品实际运行情况，定期进行产品性能优化，保障产品高效、稳定运行。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系统升级</w:t>
            </w:r>
          </w:p>
          <w:p>
            <w:pPr>
              <w:pStyle w:val="null3"/>
              <w:ind w:firstLine="480"/>
              <w:jc w:val="left"/>
            </w:pPr>
            <w:r>
              <w:rPr>
                <w:rFonts w:ascii="仿宋_GB2312" w:hAnsi="仿宋_GB2312" w:cs="仿宋_GB2312" w:eastAsia="仿宋_GB2312"/>
                <w:sz w:val="24"/>
                <w:color w:val="000000"/>
              </w:rPr>
              <w:t>提供产品升级服务，定期进行产品版本、产品功能、产品组件等的升级更新。</w:t>
            </w:r>
          </w:p>
          <w:p>
            <w:pPr>
              <w:pStyle w:val="null3"/>
              <w:ind w:firstLine="480"/>
              <w:jc w:val="left"/>
            </w:pPr>
            <w:r>
              <w:rPr>
                <w:rFonts w:ascii="仿宋_GB2312" w:hAnsi="仿宋_GB2312" w:cs="仿宋_GB2312" w:eastAsia="仿宋_GB2312"/>
                <w:sz w:val="24"/>
                <w:color w:val="000000"/>
              </w:rPr>
              <w:t>按交通运输部及陕西省交通运输厅等部门的要求做好系统平台升级改造及数据交换等工作。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安全优化升级</w:t>
            </w:r>
          </w:p>
          <w:p>
            <w:pPr>
              <w:pStyle w:val="null3"/>
              <w:ind w:firstLine="480"/>
              <w:jc w:val="left"/>
            </w:pPr>
            <w:r>
              <w:rPr>
                <w:rFonts w:ascii="仿宋_GB2312" w:hAnsi="仿宋_GB2312" w:cs="仿宋_GB2312" w:eastAsia="仿宋_GB2312"/>
                <w:sz w:val="24"/>
                <w:color w:val="000000"/>
              </w:rPr>
              <w:t>根据实际业务需求，开展产品的安全优化升级，包括产品安全升级、安全漏洞修复、安全问题处理等，保障产品安全性。</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数据共享</w:t>
            </w:r>
          </w:p>
          <w:p>
            <w:pPr>
              <w:pStyle w:val="null3"/>
              <w:ind w:firstLine="480"/>
              <w:jc w:val="left"/>
            </w:pPr>
            <w:r>
              <w:rPr>
                <w:rFonts w:ascii="仿宋_GB2312" w:hAnsi="仿宋_GB2312" w:cs="仿宋_GB2312" w:eastAsia="仿宋_GB2312"/>
                <w:sz w:val="24"/>
                <w:color w:val="000000"/>
              </w:rPr>
              <w:t>做好陕西省驾驶培训监管服务平台与省内机动车驾驶员培训机构计时培训平台对接工作，根据采购人要求与全国驾驶培训数据交换与服务平台实现数据交换、共享。</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业务咨询</w:t>
            </w:r>
          </w:p>
          <w:p>
            <w:pPr>
              <w:pStyle w:val="null3"/>
              <w:ind w:firstLine="480"/>
              <w:jc w:val="left"/>
            </w:pPr>
            <w:r>
              <w:rPr>
                <w:rFonts w:ascii="仿宋_GB2312" w:hAnsi="仿宋_GB2312" w:cs="仿宋_GB2312" w:eastAsia="仿宋_GB2312"/>
                <w:sz w:val="24"/>
                <w:color w:val="000000"/>
              </w:rPr>
              <w:t>根据用户实际业务需求，提供关于系统使用和维护、管理、安全、考核等方面的咨询解答服务。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专项保障</w:t>
            </w:r>
          </w:p>
          <w:p>
            <w:pPr>
              <w:pStyle w:val="null3"/>
              <w:ind w:firstLine="480"/>
              <w:jc w:val="left"/>
            </w:pPr>
            <w:r>
              <w:rPr>
                <w:rFonts w:ascii="仿宋_GB2312" w:hAnsi="仿宋_GB2312" w:cs="仿宋_GB2312" w:eastAsia="仿宋_GB2312"/>
                <w:sz w:val="24"/>
                <w:color w:val="000000"/>
              </w:rPr>
              <w:t>在重大会议、活动或节假日提供平台全程监控和保障服务，安排专门人员</w:t>
            </w:r>
            <w:r>
              <w:rPr>
                <w:rFonts w:ascii="仿宋_GB2312" w:hAnsi="仿宋_GB2312" w:cs="仿宋_GB2312" w:eastAsia="仿宋_GB2312"/>
                <w:sz w:val="24"/>
                <w:color w:val="000000"/>
              </w:rPr>
              <w:t>24小时响应，针对系统故障及时处理。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系统培训</w:t>
            </w:r>
          </w:p>
          <w:p>
            <w:pPr>
              <w:pStyle w:val="null3"/>
              <w:ind w:firstLine="480"/>
              <w:jc w:val="left"/>
            </w:pPr>
            <w:r>
              <w:rPr>
                <w:rFonts w:ascii="仿宋_GB2312" w:hAnsi="仿宋_GB2312" w:cs="仿宋_GB2312" w:eastAsia="仿宋_GB2312"/>
                <w:sz w:val="24"/>
                <w:color w:val="000000"/>
              </w:rPr>
              <w:t>根据需要对系统使用者及维护者开展操作培，使其熟练使用业务系统。培训方式包括热线支持、远程协助和网络视频培训等方式。</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应用软件运维</w:t>
            </w:r>
          </w:p>
          <w:p>
            <w:pPr>
              <w:pStyle w:val="null3"/>
              <w:ind w:firstLine="480"/>
              <w:jc w:val="left"/>
            </w:pPr>
            <w:r>
              <w:rPr>
                <w:rFonts w:ascii="仿宋_GB2312" w:hAnsi="仿宋_GB2312" w:cs="仿宋_GB2312" w:eastAsia="仿宋_GB2312"/>
                <w:sz w:val="24"/>
                <w:color w:val="000000"/>
              </w:rPr>
              <w:t>针对各应用软件系统提供统一运维服务，满足平台产品使用需求。具体包括问题诊断与排除、系统巡检、系统监控、系统功能优化、性能优化、系统升级、系统管理、数据备份恢复、安全管理、技术咨询、专项保障、系统培训等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问题诊断与修改</w:t>
            </w:r>
          </w:p>
          <w:p>
            <w:pPr>
              <w:pStyle w:val="null3"/>
              <w:ind w:firstLine="480"/>
              <w:jc w:val="left"/>
            </w:pPr>
            <w:r>
              <w:rPr>
                <w:rFonts w:ascii="仿宋_GB2312" w:hAnsi="仿宋_GB2312" w:cs="仿宋_GB2312" w:eastAsia="仿宋_GB2312"/>
                <w:sz w:val="24"/>
                <w:color w:val="000000"/>
              </w:rPr>
              <w:t>针对平台各系统运行过程中的各类故障问题、系统</w:t>
            </w:r>
            <w:r>
              <w:rPr>
                <w:rFonts w:ascii="仿宋_GB2312" w:hAnsi="仿宋_GB2312" w:cs="仿宋_GB2312" w:eastAsia="仿宋_GB2312"/>
                <w:sz w:val="24"/>
                <w:color w:val="000000"/>
              </w:rPr>
              <w:t>bug、系统检查问题等提供及时响应和处理。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系统巡检</w:t>
            </w:r>
          </w:p>
          <w:p>
            <w:pPr>
              <w:pStyle w:val="null3"/>
              <w:ind w:firstLine="480"/>
              <w:jc w:val="left"/>
            </w:pPr>
            <w:r>
              <w:rPr>
                <w:rFonts w:ascii="仿宋_GB2312" w:hAnsi="仿宋_GB2312" w:cs="仿宋_GB2312" w:eastAsia="仿宋_GB2312"/>
                <w:sz w:val="24"/>
                <w:color w:val="000000"/>
              </w:rPr>
              <w:t>提供各系统定期巡检服务，对系统的工作状态、性能进行评估，以确保各系统能够以最佳的状态运行。同时，发现系统隐患及时报告相关人员解决。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系统监控</w:t>
            </w:r>
          </w:p>
          <w:p>
            <w:pPr>
              <w:pStyle w:val="null3"/>
              <w:ind w:firstLine="480"/>
              <w:jc w:val="left"/>
            </w:pPr>
            <w:r>
              <w:rPr>
                <w:rFonts w:ascii="仿宋_GB2312" w:hAnsi="仿宋_GB2312" w:cs="仿宋_GB2312" w:eastAsia="仿宋_GB2312"/>
                <w:sz w:val="24"/>
                <w:color w:val="000000"/>
              </w:rPr>
              <w:t>对平台各系统的运行情况进行监控，及时发现系统故障，确保系统可靠稳定运行，并在日常监控的基础上进行安全事件积累、分析。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系统功能优化</w:t>
            </w:r>
          </w:p>
          <w:p>
            <w:pPr>
              <w:pStyle w:val="null3"/>
              <w:ind w:firstLine="480"/>
              <w:jc w:val="left"/>
            </w:pPr>
            <w:r>
              <w:rPr>
                <w:rFonts w:ascii="仿宋_GB2312" w:hAnsi="仿宋_GB2312" w:cs="仿宋_GB2312" w:eastAsia="仿宋_GB2312"/>
                <w:sz w:val="24"/>
                <w:color w:val="000000"/>
              </w:rPr>
              <w:t>针对系统维护管理过程中提出的功能修改需求或根据相关检查考核提出的业务需求开展系统功能修改和优化工作。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性能优化</w:t>
            </w:r>
          </w:p>
          <w:p>
            <w:pPr>
              <w:pStyle w:val="null3"/>
              <w:ind w:firstLine="480"/>
              <w:jc w:val="left"/>
            </w:pPr>
            <w:r>
              <w:rPr>
                <w:rFonts w:ascii="仿宋_GB2312" w:hAnsi="仿宋_GB2312" w:cs="仿宋_GB2312" w:eastAsia="仿宋_GB2312"/>
                <w:sz w:val="24"/>
                <w:color w:val="000000"/>
              </w:rPr>
              <w:t>针对平台各系统和数据库提供定期的性能优化和性能提升服务，保障系统高效运行。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系统升级</w:t>
            </w:r>
          </w:p>
          <w:p>
            <w:pPr>
              <w:pStyle w:val="null3"/>
              <w:ind w:firstLine="480"/>
              <w:jc w:val="left"/>
            </w:pPr>
            <w:r>
              <w:rPr>
                <w:rFonts w:ascii="仿宋_GB2312" w:hAnsi="仿宋_GB2312" w:cs="仿宋_GB2312" w:eastAsia="仿宋_GB2312"/>
                <w:sz w:val="24"/>
                <w:color w:val="000000"/>
              </w:rPr>
              <w:t>定期提供系统版本升级、功能升级和组件升级等服务。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系统管理</w:t>
            </w:r>
          </w:p>
          <w:p>
            <w:pPr>
              <w:pStyle w:val="null3"/>
              <w:ind w:firstLine="480"/>
              <w:jc w:val="left"/>
            </w:pPr>
            <w:r>
              <w:rPr>
                <w:rFonts w:ascii="仿宋_GB2312" w:hAnsi="仿宋_GB2312" w:cs="仿宋_GB2312" w:eastAsia="仿宋_GB2312"/>
                <w:sz w:val="24"/>
                <w:color w:val="000000"/>
              </w:rPr>
              <w:t>提供平台数据初始化、系统配置、用户管理、权限分配、密码管理等系统日常维护管理服务。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数据备份恢复</w:t>
            </w:r>
          </w:p>
          <w:p>
            <w:pPr>
              <w:pStyle w:val="null3"/>
              <w:ind w:firstLine="480"/>
              <w:jc w:val="left"/>
            </w:pPr>
            <w:r>
              <w:rPr>
                <w:rFonts w:ascii="仿宋_GB2312" w:hAnsi="仿宋_GB2312" w:cs="仿宋_GB2312" w:eastAsia="仿宋_GB2312"/>
                <w:sz w:val="24"/>
                <w:color w:val="000000"/>
              </w:rPr>
              <w:t>定期提供平台数据备份、数据导入导出、数据恢复等服务。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安全管理</w:t>
            </w:r>
          </w:p>
          <w:p>
            <w:pPr>
              <w:pStyle w:val="null3"/>
              <w:ind w:firstLine="480"/>
              <w:jc w:val="left"/>
            </w:pPr>
            <w:r>
              <w:rPr>
                <w:rFonts w:ascii="仿宋_GB2312" w:hAnsi="仿宋_GB2312" w:cs="仿宋_GB2312" w:eastAsia="仿宋_GB2312"/>
                <w:sz w:val="24"/>
                <w:color w:val="000000"/>
              </w:rPr>
              <w:t>提供平台账号安全管理、数据安全管理、安全漏洞修复、安全问题解决、系统安全优化、安全突发情说响应处置、第三方安全检测配合等服务。根据国家相关规定，完成信息系统安全</w:t>
            </w:r>
            <w:r>
              <w:rPr>
                <w:rFonts w:ascii="仿宋_GB2312" w:hAnsi="仿宋_GB2312" w:cs="仿宋_GB2312" w:eastAsia="仿宋_GB2312"/>
                <w:sz w:val="24"/>
                <w:color w:val="000000"/>
              </w:rPr>
              <w:t>等级保护备案、测评等相关工作。</w:t>
            </w:r>
          </w:p>
          <w:p>
            <w:pPr>
              <w:pStyle w:val="null3"/>
              <w:ind w:firstLine="480"/>
              <w:jc w:val="left"/>
            </w:pPr>
            <w:r>
              <w:rPr>
                <w:rFonts w:ascii="仿宋_GB2312" w:hAnsi="仿宋_GB2312" w:cs="仿宋_GB2312" w:eastAsia="仿宋_GB2312"/>
                <w:sz w:val="24"/>
                <w:color w:val="000000"/>
              </w:rPr>
              <w:t>3、其他要求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1）对接中心统一身份管控组件，实现系统SSO认证登录接入、应用权限接入、对接统一身份认证等，满足陕西省政务服务的数字身份认证和管控要求。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2）充分考虑对用户端的兼容性，对系统易用性、兼容性进行优化，不得要求用户使用特定浏览器、Ukey等用户端软硬件进行系统访问。</w:t>
            </w:r>
          </w:p>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服务信息保密要求</w:t>
            </w:r>
          </w:p>
          <w:p>
            <w:pPr>
              <w:pStyle w:val="null3"/>
              <w:ind w:firstLine="480"/>
              <w:jc w:val="left"/>
            </w:pPr>
            <w:r>
              <w:rPr>
                <w:rFonts w:ascii="仿宋_GB2312" w:hAnsi="仿宋_GB2312" w:cs="仿宋_GB2312" w:eastAsia="仿宋_GB2312"/>
                <w:sz w:val="24"/>
                <w:color w:val="000000"/>
              </w:rPr>
              <w:t>成交供应商必须承担为采购人保守相关保密信息的义务和责任，包括以下内容：</w:t>
            </w:r>
          </w:p>
          <w:p>
            <w:pPr>
              <w:pStyle w:val="null3"/>
              <w:ind w:firstLine="480"/>
              <w:jc w:val="left"/>
            </w:pPr>
            <w:r>
              <w:rPr>
                <w:rFonts w:ascii="仿宋_GB2312" w:hAnsi="仿宋_GB2312" w:cs="仿宋_GB2312" w:eastAsia="仿宋_GB2312"/>
                <w:sz w:val="24"/>
                <w:b/>
                <w:color w:val="000000"/>
              </w:rPr>
              <w:t>★成交供应商应严格控制了解项目关键资料的人员范围，对参与项目运维的有关工作人员要明确保密责任，严格保密纪律，不得泄漏、使用系统数据信息用于其他用途，提供承诺函并加盖公章。</w:t>
            </w:r>
          </w:p>
          <w:p>
            <w:pPr>
              <w:pStyle w:val="null3"/>
              <w:ind w:firstLine="482"/>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、系统安全要求</w:t>
            </w:r>
          </w:p>
          <w:p>
            <w:pPr>
              <w:pStyle w:val="null3"/>
              <w:ind w:firstLine="480"/>
              <w:jc w:val="left"/>
            </w:pPr>
            <w:r>
              <w:rPr>
                <w:rFonts w:ascii="仿宋_GB2312" w:hAnsi="仿宋_GB2312" w:cs="仿宋_GB2312" w:eastAsia="仿宋_GB2312"/>
                <w:sz w:val="24"/>
                <w:color w:val="000000"/>
              </w:rPr>
              <w:t>系统安全：避免发生因病毒、木马等外部因素造成业务系统大面积瘫痪。</w:t>
            </w:r>
          </w:p>
          <w:p>
            <w:pPr>
              <w:pStyle w:val="null3"/>
              <w:ind w:firstLine="480"/>
              <w:jc w:val="left"/>
            </w:pPr>
            <w:r>
              <w:rPr>
                <w:rFonts w:ascii="仿宋_GB2312" w:hAnsi="仿宋_GB2312" w:cs="仿宋_GB2312" w:eastAsia="仿宋_GB2312"/>
                <w:sz w:val="24"/>
                <w:b/>
                <w:color w:val="000000"/>
              </w:rPr>
              <w:t>★信息安全：严禁发生系统人员信息和系统业务数据泄露并造成恶劣影响的事件，提供承诺函并加盖公章。</w:t>
            </w:r>
          </w:p>
          <w:p>
            <w:pPr>
              <w:pStyle w:val="null3"/>
              <w:ind w:firstLine="480"/>
              <w:jc w:val="left"/>
            </w:pPr>
            <w:r>
              <w:rPr>
                <w:rFonts w:ascii="仿宋_GB2312" w:hAnsi="仿宋_GB2312" w:cs="仿宋_GB2312" w:eastAsia="仿宋_GB2312"/>
                <w:sz w:val="24"/>
                <w:b/>
                <w:color w:val="000000"/>
              </w:rPr>
              <w:t>★系统人员信息和系统业务数据严禁擅自挪作其他用途，提供承诺函并加盖公章。</w:t>
            </w:r>
          </w:p>
          <w:p>
            <w:pPr>
              <w:pStyle w:val="null3"/>
              <w:ind w:firstLine="480"/>
              <w:jc w:val="left"/>
            </w:pPr>
            <w:r>
              <w:rPr>
                <w:rFonts w:ascii="仿宋_GB2312" w:hAnsi="仿宋_GB2312" w:cs="仿宋_GB2312" w:eastAsia="仿宋_GB2312"/>
                <w:sz w:val="24"/>
                <w:color w:val="000000"/>
              </w:rPr>
              <w:t>风险防范及安全保密规范：要经常检查和评估所有信息安全防护系统及相关制度规范的有效性；要有严格的运维管理制度并严格按照执行；定期进行安全保密教育和培训；移动介质管理办法要切实可行。对参与项目运维的有关工作人员要明确保密责任，严格保密纪律，不得泄漏统的秘密内容和内部的程序。</w:t>
            </w:r>
          </w:p>
          <w:p>
            <w:pPr>
              <w:pStyle w:val="null3"/>
              <w:ind w:firstLine="480"/>
              <w:jc w:val="left"/>
            </w:pPr>
            <w:r>
              <w:rPr>
                <w:rFonts w:ascii="仿宋_GB2312" w:hAnsi="仿宋_GB2312" w:cs="仿宋_GB2312" w:eastAsia="仿宋_GB2312"/>
                <w:sz w:val="24"/>
                <w:color w:val="000000"/>
              </w:rPr>
              <w:t>根据国家相关规定，成交供应商须</w:t>
            </w:r>
            <w:r>
              <w:rPr>
                <w:rFonts w:ascii="仿宋_GB2312" w:hAnsi="仿宋_GB2312" w:cs="仿宋_GB2312" w:eastAsia="仿宋_GB2312"/>
                <w:sz w:val="24"/>
                <w:color w:val="000000"/>
              </w:rPr>
              <w:t>在</w:t>
            </w:r>
            <w:r>
              <w:rPr>
                <w:rFonts w:ascii="仿宋_GB2312" w:hAnsi="仿宋_GB2312" w:cs="仿宋_GB2312" w:eastAsia="仿宋_GB2312"/>
                <w:sz w:val="24"/>
                <w:color w:val="000000"/>
              </w:rPr>
              <w:t>本项目服务期启动后的</w:t>
            </w:r>
            <w:r>
              <w:rPr>
                <w:rFonts w:ascii="仿宋_GB2312" w:hAnsi="仿宋_GB2312" w:cs="仿宋_GB2312" w:eastAsia="仿宋_GB2312"/>
                <w:sz w:val="24"/>
                <w:color w:val="000000"/>
              </w:rPr>
              <w:t>3个月内</w:t>
            </w:r>
            <w:r>
              <w:rPr>
                <w:rFonts w:ascii="仿宋_GB2312" w:hAnsi="仿宋_GB2312" w:cs="仿宋_GB2312" w:eastAsia="仿宋_GB2312"/>
                <w:sz w:val="24"/>
                <w:color w:val="000000"/>
              </w:rPr>
              <w:t>完成系统安全等级保护备案和测评等相关工作。经常检查和评估所有信息安全防护系统及相关制度规范的有效性，要有严格的平台运维管理制度并严格按照执行，要定期进行安全保密教育和培训，移动介质管理办法要切实可行。配合采购人做好网络安全应急事件处置、定期做好漏洞修复等管理维护工作。</w:t>
            </w:r>
          </w:p>
          <w:p>
            <w:pPr>
              <w:pStyle w:val="null3"/>
              <w:ind w:firstLine="482"/>
              <w:jc w:val="left"/>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、标准符合性要求</w:t>
            </w:r>
          </w:p>
          <w:p>
            <w:pPr>
              <w:pStyle w:val="null3"/>
              <w:ind w:firstLine="480"/>
              <w:jc w:val="left"/>
            </w:pPr>
            <w:r>
              <w:rPr>
                <w:rFonts w:ascii="仿宋_GB2312" w:hAnsi="仿宋_GB2312" w:cs="仿宋_GB2312" w:eastAsia="仿宋_GB2312"/>
                <w:sz w:val="24"/>
                <w:color w:val="000000"/>
              </w:rPr>
              <w:t>运维服务需要满足符合国家、陕西省有关信息系统系统运行维护的相关文件要求：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GB/T28827.1-2022信息技术服务运行维护第1部分：通用要求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GB/T28827.2-2012信息技术服务运行维护第2部分：交付规范》、《GB/T28827.3-2012信息技术服务运行维护第3部分：应急响应规范》、《GB/T28827.4-2019信息技术服务运行维护第4部分：数据中心服务要求》、《SJ/T11564.5-2017信息技术服务运行维护第5部分：桌面及外围设备规范》、《GB/T28827.6-2019信息技术服务运行维护第6部分：应用系统服务要求》。</w:t>
            </w:r>
          </w:p>
          <w:p>
            <w:pPr>
              <w:pStyle w:val="null3"/>
              <w:ind w:firstLine="482"/>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、运维服务要求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1）供应商应制定详细实施计划，包含服</w:t>
            </w:r>
            <w:r>
              <w:rPr>
                <w:rFonts w:ascii="仿宋_GB2312" w:hAnsi="仿宋_GB2312" w:cs="仿宋_GB2312" w:eastAsia="仿宋_GB2312"/>
                <w:sz w:val="24"/>
                <w:color w:val="000000"/>
              </w:rPr>
              <w:t>目</w:t>
            </w:r>
            <w:r>
              <w:rPr>
                <w:rFonts w:ascii="仿宋_GB2312" w:hAnsi="仿宋_GB2312" w:cs="仿宋_GB2312" w:eastAsia="仿宋_GB2312"/>
                <w:sz w:val="24"/>
                <w:color w:val="000000"/>
              </w:rPr>
              <w:t>标、服务跟踪计划、系统维护、升级服务、技术支持服务及其他相关服务承诺。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2）保证系统全天24小时正常运行，提供为期1年的技术服务。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应承诺提供</w:t>
            </w:r>
            <w:r>
              <w:rPr>
                <w:rFonts w:ascii="仿宋_GB2312" w:hAnsi="仿宋_GB2312" w:cs="仿宋_GB2312" w:eastAsia="仿宋_GB2312"/>
                <w:sz w:val="24"/>
                <w:color w:val="000000"/>
              </w:rPr>
              <w:t>7*24小时技术支持服务，服务期内不少于1名人员驻场服务，驻场时间为工作日，每日驻场时间不少于8小时，法定节假日或特殊时期需安排专人值守。通过热线电话方式提供系统使用方面的技术咨询服务（每周7天×24小时，工作日期间，运维单位可在2小时内响应，4小时内解决故障，非工作日期间，成交供应商可在4小时内响应，8小时内解决故障），解决各级管理部门及企业系统使用及操作方面遇到的技术问题，确保采购方的信息系统稳定、安全、顺畅、正常运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应保证在此项目服务期间有足够的人力投入。项目负责人和团队主要成员未经采购人同意不得更换。服务团队中应至少包含项目经理、技术经理、软件开发工程师、运维服务工程师等岗位角色。</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未能按照服务标准要求的响应时间完成故障排除的，每次扣除合同履约保证金总额的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0%，当累计扣除合同履约保证金总额达到100%以上时，立即终止维保合同，余款不予退还</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不服从陕西省道路运输事业发展中心安排、因</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原因导致业务系统宕机、瘫痪、数据丢失等重大生产事故的，每次扣除合同履约保证金总额的</w:t>
            </w:r>
            <w:r>
              <w:rPr>
                <w:rFonts w:ascii="仿宋_GB2312" w:hAnsi="仿宋_GB2312" w:cs="仿宋_GB2312" w:eastAsia="仿宋_GB2312"/>
                <w:sz w:val="24"/>
                <w:color w:val="000000"/>
              </w:rPr>
              <w:t>100%，并立即终止合同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、统计报表要求</w:t>
            </w:r>
          </w:p>
          <w:p>
            <w:pPr>
              <w:pStyle w:val="null3"/>
              <w:ind w:firstLine="480"/>
              <w:jc w:val="left"/>
            </w:pPr>
            <w:r>
              <w:rPr>
                <w:rFonts w:ascii="仿宋_GB2312" w:hAnsi="仿宋_GB2312" w:cs="仿宋_GB2312" w:eastAsia="仿宋_GB2312"/>
                <w:sz w:val="24"/>
                <w:color w:val="000000"/>
              </w:rPr>
              <w:t>全年累计提供不少于</w:t>
            </w:r>
            <w:r>
              <w:rPr>
                <w:rFonts w:ascii="仿宋_GB2312" w:hAnsi="仿宋_GB2312" w:cs="仿宋_GB2312" w:eastAsia="仿宋_GB2312"/>
                <w:sz w:val="24"/>
                <w:color w:val="000000"/>
              </w:rPr>
              <w:t>52次系统巡检，提供巡检报告；</w:t>
            </w:r>
          </w:p>
          <w:p>
            <w:pPr>
              <w:pStyle w:val="null3"/>
              <w:ind w:firstLine="480"/>
              <w:jc w:val="left"/>
            </w:pPr>
            <w:r>
              <w:rPr>
                <w:rFonts w:ascii="仿宋_GB2312" w:hAnsi="仿宋_GB2312" w:cs="仿宋_GB2312" w:eastAsia="仿宋_GB2312"/>
                <w:sz w:val="24"/>
                <w:color w:val="000000"/>
              </w:rPr>
              <w:t>每日定时进行系统数据备份；</w:t>
            </w:r>
          </w:p>
          <w:p>
            <w:pPr>
              <w:pStyle w:val="null3"/>
              <w:ind w:firstLine="480"/>
              <w:jc w:val="left"/>
            </w:pPr>
            <w:r>
              <w:rPr>
                <w:rFonts w:ascii="仿宋_GB2312" w:hAnsi="仿宋_GB2312" w:cs="仿宋_GB2312" w:eastAsia="仿宋_GB2312"/>
                <w:sz w:val="24"/>
                <w:color w:val="000000"/>
              </w:rPr>
              <w:t>做好日常监测，及时发现处理平台异常数据，每月汇总提交平台异常数据报表</w:t>
            </w:r>
            <w:r>
              <w:rPr>
                <w:rFonts w:ascii="仿宋_GB2312" w:hAnsi="仿宋_GB2312" w:cs="仿宋_GB2312" w:eastAsia="仿宋_GB2312"/>
                <w:sz w:val="24"/>
                <w:color w:val="000000"/>
              </w:rPr>
              <w:t>, 每季度提交平台运行情况报告。</w:t>
            </w:r>
          </w:p>
          <w:p>
            <w:pPr>
              <w:pStyle w:val="null3"/>
              <w:ind w:firstLine="482"/>
              <w:jc w:val="left"/>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、商务要求</w:t>
            </w:r>
          </w:p>
          <w:p>
            <w:pPr>
              <w:pStyle w:val="null3"/>
              <w:ind w:firstLine="480"/>
              <w:jc w:val="left"/>
            </w:pPr>
            <w:r>
              <w:rPr>
                <w:rFonts w:ascii="仿宋_GB2312" w:hAnsi="仿宋_GB2312" w:cs="仿宋_GB2312" w:eastAsia="仿宋_GB2312"/>
                <w:sz w:val="24"/>
                <w:color w:val="000000"/>
              </w:rPr>
              <w:t>1.履约期：</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12月24日至202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12月23日。</w:t>
            </w:r>
          </w:p>
          <w:p>
            <w:pPr>
              <w:pStyle w:val="null3"/>
              <w:ind w:firstLine="480"/>
              <w:jc w:val="left"/>
            </w:pPr>
            <w:r>
              <w:rPr>
                <w:rFonts w:ascii="仿宋_GB2312" w:hAnsi="仿宋_GB2312" w:cs="仿宋_GB2312" w:eastAsia="仿宋_GB2312"/>
                <w:sz w:val="24"/>
                <w:color w:val="000000"/>
              </w:rPr>
              <w:t>2.履约地点：采购人指定地点。</w:t>
            </w:r>
          </w:p>
          <w:p>
            <w:pPr>
              <w:pStyle w:val="null3"/>
              <w:ind w:firstLine="480"/>
              <w:jc w:val="left"/>
            </w:pPr>
            <w:r>
              <w:rPr>
                <w:rFonts w:ascii="仿宋_GB2312" w:hAnsi="仿宋_GB2312" w:cs="仿宋_GB2312" w:eastAsia="仿宋_GB2312"/>
                <w:sz w:val="24"/>
                <w:color w:val="000000"/>
              </w:rPr>
              <w:t>3.服务费支付方式：</w:t>
            </w:r>
          </w:p>
          <w:p>
            <w:pPr>
              <w:pStyle w:val="null3"/>
              <w:ind w:firstLine="480"/>
              <w:jc w:val="left"/>
            </w:pPr>
            <w:r>
              <w:rPr>
                <w:rFonts w:ascii="仿宋_GB2312" w:hAnsi="仿宋_GB2312" w:cs="仿宋_GB2312" w:eastAsia="仿宋_GB2312"/>
                <w:sz w:val="24"/>
                <w:color w:val="000000"/>
              </w:rPr>
              <w:t>合同签订前，成交供应商需先缴纳合同总价款</w:t>
            </w:r>
            <w:r>
              <w:rPr>
                <w:rFonts w:ascii="仿宋_GB2312" w:hAnsi="仿宋_GB2312" w:cs="仿宋_GB2312" w:eastAsia="仿宋_GB2312"/>
                <w:sz w:val="24"/>
                <w:color w:val="000000"/>
              </w:rPr>
              <w:t>5%履约保证金。履约保证金在运维服务期满验收合格后一次无息退回，若成交供应商违约，采购人有权从履约保证金中直接扣减。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个工作日内，</w:t>
            </w:r>
            <w:r>
              <w:rPr>
                <w:rFonts w:ascii="仿宋_GB2312" w:hAnsi="仿宋_GB2312" w:cs="仿宋_GB2312" w:eastAsia="仿宋_GB2312"/>
                <w:sz w:val="24"/>
                <w:color w:val="000000"/>
              </w:rPr>
              <w:t>支付合同总金额的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）在财政预算执行时限内，</w:t>
            </w:r>
            <w:r>
              <w:rPr>
                <w:rFonts w:ascii="仿宋_GB2312" w:hAnsi="仿宋_GB2312" w:cs="仿宋_GB2312" w:eastAsia="仿宋_GB2312"/>
                <w:sz w:val="24"/>
                <w:color w:val="000000"/>
              </w:rPr>
              <w:t>供应商需按要求完成档案移交，完成移交后，</w:t>
            </w:r>
            <w:r>
              <w:rPr>
                <w:rFonts w:ascii="仿宋_GB2312" w:hAnsi="仿宋_GB2312" w:cs="仿宋_GB2312" w:eastAsia="仿宋_GB2312"/>
                <w:sz w:val="24"/>
                <w:color w:val="000000"/>
              </w:rPr>
              <w:t>支付剩余</w:t>
            </w:r>
            <w:r>
              <w:rPr>
                <w:rFonts w:ascii="仿宋_GB2312" w:hAnsi="仿宋_GB2312" w:cs="仿宋_GB2312" w:eastAsia="仿宋_GB2312"/>
                <w:sz w:val="24"/>
                <w:color w:val="000000"/>
              </w:rPr>
              <w:t>50%</w:t>
            </w:r>
            <w:r>
              <w:rPr>
                <w:rFonts w:ascii="仿宋_GB2312" w:hAnsi="仿宋_GB2312" w:cs="仿宋_GB2312" w:eastAsia="仿宋_GB2312"/>
                <w:sz w:val="24"/>
                <w:color w:val="000000"/>
              </w:rPr>
              <w:t>合同款项；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运维服务期满且验收合格后，并提供《专项资金</w:t>
            </w:r>
            <w:r>
              <w:rPr>
                <w:rFonts w:ascii="仿宋_GB2312" w:hAnsi="仿宋_GB2312" w:cs="仿宋_GB2312" w:eastAsia="仿宋_GB2312"/>
                <w:sz w:val="24"/>
                <w:color w:val="000000"/>
              </w:rPr>
              <w:t>(项目)绩效目标自评表》,甲方在 30 日内将履约保证金一次性无息退还；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乙方（成交供应商）</w:t>
            </w:r>
            <w:r>
              <w:rPr>
                <w:rFonts w:ascii="仿宋_GB2312" w:hAnsi="仿宋_GB2312" w:cs="仿宋_GB2312" w:eastAsia="仿宋_GB2312"/>
                <w:sz w:val="24"/>
                <w:color w:val="000000"/>
              </w:rPr>
              <w:t>在向甲方（采购人）办理以上各期付款的支付手续前，应向甲方（采购人）出具等额的符合国家规定的发票；因乙方</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未按时向甲方（采购人）提供等额发票，导致甲方（采购人）延期付款时，甲方（采购人）不承担任何违约责任；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5）上述时间不包括甲方（采购人）正常办理支付报批手续的时间；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6）执行过程中，合同总金额如遇财政预算核减，财政核减后金额低于成交总金额的，按财政核减后金额执行。</w:t>
            </w:r>
          </w:p>
          <w:p>
            <w:pPr>
              <w:pStyle w:val="null3"/>
              <w:ind w:firstLine="480"/>
              <w:jc w:val="left"/>
            </w:pPr>
            <w:r>
              <w:rPr>
                <w:rFonts w:ascii="仿宋_GB2312" w:hAnsi="仿宋_GB2312" w:cs="仿宋_GB2312" w:eastAsia="仿宋_GB2312"/>
                <w:sz w:val="24"/>
                <w:color w:val="000000"/>
              </w:rPr>
              <w:t>4.结算方式：</w:t>
            </w:r>
          </w:p>
          <w:p>
            <w:pPr>
              <w:pStyle w:val="null3"/>
              <w:ind w:firstLine="480"/>
              <w:jc w:val="left"/>
            </w:pPr>
            <w:r>
              <w:rPr>
                <w:rFonts w:ascii="仿宋_GB2312" w:hAnsi="仿宋_GB2312" w:cs="仿宋_GB2312" w:eastAsia="仿宋_GB2312"/>
                <w:sz w:val="24"/>
                <w:color w:val="000000"/>
              </w:rPr>
              <w:t>银行转账。</w:t>
            </w:r>
          </w:p>
          <w:p>
            <w:pPr>
              <w:pStyle w:val="null3"/>
              <w:ind w:firstLine="480"/>
              <w:jc w:val="left"/>
            </w:pPr>
            <w:r>
              <w:rPr>
                <w:rFonts w:ascii="仿宋_GB2312" w:hAnsi="仿宋_GB2312" w:cs="仿宋_GB2312" w:eastAsia="仿宋_GB2312"/>
                <w:sz w:val="24"/>
                <w:color w:val="000000"/>
              </w:rPr>
              <w:t>成交供应商对其账户信息的准确性和可用性承担全部责任，若其提供的账户信息发生任何变化，成交供应商应提前</w:t>
            </w:r>
            <w:r>
              <w:rPr>
                <w:rFonts w:ascii="仿宋_GB2312" w:hAnsi="仿宋_GB2312" w:cs="仿宋_GB2312" w:eastAsia="仿宋_GB2312"/>
                <w:sz w:val="24"/>
                <w:color w:val="000000"/>
              </w:rPr>
              <w:t>5个工作日书面通知采购人，否则采购人不对成交供应商未能收到或迟延收到任何款项承担责任。</w:t>
            </w:r>
          </w:p>
          <w:p>
            <w:pPr>
              <w:pStyle w:val="null3"/>
              <w:ind w:firstLine="482"/>
              <w:jc w:val="left"/>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验收</w:t>
            </w:r>
            <w:r>
              <w:rPr>
                <w:rFonts w:ascii="仿宋_GB2312" w:hAnsi="仿宋_GB2312" w:cs="仿宋_GB2312" w:eastAsia="仿宋_GB2312"/>
                <w:sz w:val="24"/>
                <w:b/>
                <w:color w:val="000000"/>
              </w:rPr>
              <w:t>要求</w:t>
            </w:r>
          </w:p>
          <w:p>
            <w:pPr>
              <w:pStyle w:val="null3"/>
              <w:ind w:firstLine="480"/>
              <w:jc w:val="left"/>
            </w:pPr>
            <w:r>
              <w:rPr>
                <w:rFonts w:ascii="仿宋_GB2312" w:hAnsi="仿宋_GB2312" w:cs="仿宋_GB2312" w:eastAsia="仿宋_GB2312"/>
                <w:sz w:val="24"/>
                <w:color w:val="000000"/>
              </w:rPr>
              <w:t>运维服务期满后，由项目成交供应商提供书面申请，按照采购人要求提供验收所需全部资料，包括但不限于招标阶段、实施阶段（资质、质量、安全、进度、配置、效能、应急）、日常运行维护阶段、测试实施质量（涉及到新增功能接口的）、网络安全、运维验收报告等资料，由采购人组织项目验收。验收合格须交接项目实施的全部资料。</w:t>
            </w:r>
          </w:p>
          <w:p>
            <w:pPr>
              <w:pStyle w:val="null3"/>
              <w:ind w:firstLine="480"/>
              <w:jc w:val="left"/>
            </w:pPr>
            <w:r>
              <w:rPr>
                <w:rFonts w:ascii="仿宋_GB2312" w:hAnsi="仿宋_GB2312" w:cs="仿宋_GB2312" w:eastAsia="仿宋_GB2312"/>
                <w:sz w:val="24"/>
                <w:color w:val="000000"/>
              </w:rPr>
              <w:t>验收须以合同、《陕西省交通运输信息化管理办法》、国家相应的标准、规范等为依据。项目全部过程相关服务费用（包括但不限于专家验收费、系统测试等其他费用）由供应商承担。供应商需按采购人要求配合验收工作，验收时长以采购方工作进度为准。</w:t>
            </w:r>
          </w:p>
          <w:tbl>
            <w:tblPr>
              <w:tblBorders>
                <w:top w:val="none" w:color="000000" w:sz="4"/>
                <w:left w:val="none" w:color="000000" w:sz="4"/>
                <w:bottom w:val="none" w:color="000000" w:sz="4"/>
                <w:right w:val="none" w:color="000000" w:sz="4"/>
                <w:insideH w:val="none"/>
                <w:insideV w:val="none"/>
              </w:tblBorders>
            </w:tblPr>
            <w:tblGrid>
              <w:gridCol w:w="295"/>
              <w:gridCol w:w="345"/>
              <w:gridCol w:w="263"/>
              <w:gridCol w:w="286"/>
              <w:gridCol w:w="323"/>
              <w:gridCol w:w="249"/>
              <w:gridCol w:w="239"/>
              <w:gridCol w:w="223"/>
              <w:gridCol w:w="227"/>
            </w:tblGrid>
            <w:tr>
              <w:tc>
                <w:tcPr>
                  <w:tcW w:type="dxa" w:w="2450"/>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XX专项资金（项目）绩效目标自评表</w:t>
                  </w:r>
                  <w:r>
                    <w:br/>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年度）</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155"/>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主管部门</w:t>
                  </w:r>
                </w:p>
              </w:tc>
              <w:tc>
                <w:tcPr>
                  <w:tcW w:type="dxa" w:w="8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陕西省交通运输厅</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实施单位</w:t>
                  </w:r>
                </w:p>
              </w:tc>
              <w:tc>
                <w:tcPr>
                  <w:tcW w:type="dxa" w:w="93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陕西省道路运输事业发展中心</w:t>
                  </w:r>
                </w:p>
              </w:tc>
            </w:tr>
            <w:tr>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项目资金</w:t>
                  </w:r>
                  <w:r>
                    <w:br/>
                  </w:r>
                  <w:r>
                    <w:rPr>
                      <w:rFonts w:ascii="仿宋_GB2312" w:hAnsi="仿宋_GB2312" w:cs="仿宋_GB2312" w:eastAsia="仿宋_GB2312"/>
                      <w:sz w:val="20"/>
                      <w:color w:val="000000"/>
                    </w:rPr>
                    <w:t>（万元）</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年初预算数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全年预算数</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全年执行数</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分值</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执行率</w:t>
                  </w:r>
                </w:p>
              </w:tc>
              <w:tc>
                <w:tcPr>
                  <w:tcW w:type="dxa" w:w="4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得分</w:t>
                  </w:r>
                </w:p>
              </w:tc>
            </w:tr>
            <w:tr>
              <w:tc>
                <w:tcPr>
                  <w:tcW w:type="dxa" w:w="295"/>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年度资金总额：</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其中：当年财政拨款</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上年结转资金</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其他资金</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2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年度总体目标完成情况</w:t>
                  </w:r>
                </w:p>
              </w:tc>
              <w:tc>
                <w:tcPr>
                  <w:tcW w:type="dxa" w:w="8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0"/>
                      <w:color w:val="000000"/>
                    </w:rPr>
                    <w:t>预期目标</w:t>
                  </w:r>
                </w:p>
              </w:tc>
              <w:tc>
                <w:tcPr>
                  <w:tcW w:type="dxa" w:w="126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实际完成情况</w:t>
                  </w:r>
                </w:p>
              </w:tc>
            </w:tr>
            <w:tr>
              <w:tc>
                <w:tcPr>
                  <w:tcW w:type="dxa" w:w="295"/>
                  <w:vMerge/>
                  <w:tcBorders>
                    <w:top w:val="none" w:color="000000" w:sz="4"/>
                    <w:left w:val="single" w:color="000000" w:sz="4"/>
                    <w:bottom w:val="single" w:color="000000" w:sz="4"/>
                    <w:right w:val="single" w:color="000000" w:sz="4"/>
                  </w:tcBorders>
                </w:tcPr>
                <w:p/>
              </w:tc>
              <w:tc>
                <w:tcPr>
                  <w:tcW w:type="dxa" w:w="8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绩效指标</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一级指标</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三级指标</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年度指标值</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实际完成值</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分值</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偏差原因分析及改进措施</w:t>
                  </w:r>
                </w:p>
              </w:tc>
            </w:tr>
            <w:tr>
              <w:tc>
                <w:tcPr>
                  <w:tcW w:type="dxa" w:w="295"/>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产出指标</w:t>
                  </w:r>
                  <w:r>
                    <w:br/>
                  </w:r>
                  <w:r>
                    <w:rPr>
                      <w:rFonts w:ascii="仿宋_GB2312" w:hAnsi="仿宋_GB2312" w:cs="仿宋_GB2312" w:eastAsia="仿宋_GB2312"/>
                      <w:sz w:val="20"/>
                      <w:color w:val="000000"/>
                    </w:rPr>
                    <w:t>(50分)</w:t>
                  </w:r>
                </w:p>
              </w:tc>
              <w:tc>
                <w:tcPr>
                  <w:tcW w:type="dxa" w:w="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时效指标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成本指标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效益指标</w:t>
                  </w:r>
                  <w:r>
                    <w:br/>
                  </w:r>
                  <w:r>
                    <w:rPr>
                      <w:rFonts w:ascii="仿宋_GB2312" w:hAnsi="仿宋_GB2312" w:cs="仿宋_GB2312" w:eastAsia="仿宋_GB2312"/>
                      <w:sz w:val="20"/>
                      <w:color w:val="000000"/>
                    </w:rPr>
                    <w:t>(30分)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经济效益指标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社会效益指标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生态效益指标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可持续影响指标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263"/>
                  <w:vMerge/>
                  <w:tcBorders>
                    <w:top w:val="none" w:color="000000" w:sz="4"/>
                    <w:left w:val="none" w:color="000000" w:sz="4"/>
                    <w:bottom w:val="single" w:color="000000" w:sz="4"/>
                    <w:right w:val="single" w:color="000000" w:sz="4"/>
                  </w:tcBorders>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满意度指标</w:t>
                  </w:r>
                  <w:r>
                    <w:br/>
                  </w:r>
                  <w:r>
                    <w:rPr>
                      <w:rFonts w:ascii="仿宋_GB2312" w:hAnsi="仿宋_GB2312" w:cs="仿宋_GB2312" w:eastAsia="仿宋_GB2312"/>
                      <w:sz w:val="20"/>
                      <w:color w:val="000000"/>
                    </w:rPr>
                    <w:t>(10分)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服务对象满意度指标</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46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承诺提供7*24小时技术支持服务，服务期内不少于1名人员驻场服务，驻场时间为工作日，每日驻场时间不少于8小时，法定节假日或特殊时期需安排专人值守。通过热线电话方式提供系统使用方面的技术咨询服务（每周7天×24小时，工作日期间，运维单位可在2小时内响应，4小时内解决故障，非工作日期间，成交供应商可在4小时内响应，8小时内解决故障），解决各级管理部门及企业系统使用及操作方面遇到的技术问题，确保采购方的信息系统稳定、安全、顺畅、正常运行。2.供应商应保证在此项目服务期间有足够的人力投入。项目负责人和团队主要成员未经采购人同意不得更换。服务团队中应至少包含项目经理、技术经理、软件开发工程师、运维服务工程师等岗位角色。</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2025年12月24日至2026年12月23日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服务期满后，由项目成交供应商提供书面申请，按照采购人要求提供验收所需全部资料，包括但不限于招标阶段、实施阶段（资质、质量、安全、进度、配置、效能、应急）、日常运行维护阶段、测试实施质量（涉及到新增功能接口的）、网络安全、运维验收报告等资料，由采购人组织项目验收。验收合格须交接项目实施的全部资料。 验收须以合同、《陕西省交通运输信息化管理办法》、国家相应的标准、规范等为依据。项目全部过程相关服务费用（包括但不限于专家验收费、系统测试等其他费用）由供应商承担。供应商需按采购人要求配合验收工作，验收时长以采购方工作进度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在财政预算执行时限内，供应商需按要求完成档案移交，完成移交后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采购法实施条例》的相关条款规定和本合同约定，乙方（成交供应商）未全面履行合同义务或者发生违约，若连续或累计履行迟延超过30日，甲方（采购人）有权终止合同，乙方（成交供应商）应返还甲方（采购人）支付价款，并承担合同总价30%的违约金，造成甲方（采购人）损失的应当赔偿，并报请有关监督管理机关依法进行相应的行政处罚。甲方（采购人）违约的，应当赔偿给乙方（成交供应商）造成的经济损失。 2.如因乙方（成交供应商）工作人员在履行职务过程中的疏忽、失职、过错等故意或者过失原因给甲方（采购人）造成损失或侵害，包括但不限于甲方（采购人）本身的财产损失、由此而导致的甲方（采购人）对任何第三方的法律责任等，乙方（成交供应商）对此均应承担全部的赔偿责任。甲方（采购人）有权解除合同，乙方（成交供应商）应返还甲方（采购人）支付的合同价款，并承担合同价款30%的违约金，造成损失的应当赔偿。 3.若乙方（成交供应商）未按照合同约定履行或者履行合同不符合甲方（采购人）要求的，甲方（采购人）有权解除合同，乙方（成交供应商）应返还甲方（采购人）支付的合同价款，并承担合同价款30%的违约金，造成损失的应当赔偿。 4.乙方（成交供应商）应保证所提供的服务或其任何一部分均不会侵犯任何第三方的专利权、商标权或著作权。若因此造成的任何纠纷均由乙方（成交供应商）承担责任，包括但不限于甲方（采购人）因此产生的诉讼费、律师费、损害赔偿等。 5.如果出现政府采购监督管理部门在处理投诉事项期间，书面通知甲方（采购人）暂停采购活动的情形，或者询问或质疑事项可能影响成交结果的，导致甲方（采购人）中止履行合同的情形，均不视为甲方（采购人）违约。 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7.在本合同项下各方义务均履行完毕前，如乙方出现以下任一情形的，甲方有权在任何时候向乙方通知终止和/或解除本合同： （1）乙方被解散； （2）乙方经人民法院裁定受理破产申请（包括破产清算申请、和解申请或重整申请）的； （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网站记录的“失信被执行人”或“信用中国”网站记录的“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证明书；法定代表人授权他人参加磋商的，须提供法定代表人证明书及法定代表人授权委托书；同时提供授权委托书中被委托人员递交响应文件截止之日前连续6个月的社会保险缴纳证明（入职未满6个月，按实际入职时间提供社会保险缴纳证明；若入职时间短未缴纳社会保险，需提供劳动合同），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 ”要求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 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磋商响应文件份数</w:t>
            </w:r>
          </w:p>
        </w:tc>
        <w:tc>
          <w:tcPr>
            <w:tcW w:type="dxa" w:w="3322"/>
          </w:tcPr>
          <w:p>
            <w:pPr>
              <w:pStyle w:val="null3"/>
            </w:pPr>
            <w:r>
              <w:rPr>
                <w:rFonts w:ascii="仿宋_GB2312" w:hAnsi="仿宋_GB2312" w:cs="仿宋_GB2312" w:eastAsia="仿宋_GB2312"/>
              </w:rPr>
              <w:t>应符合“供应商须知前附表 ”规定的正本、副本、 电子文件、报价一览表数量</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应满足磋商文件中★项全部响应（提供承诺函）</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供应商根据本项目的总体认识，提供针对本项目的需求理解方案。(包括但不限于①能够了解本项目整体架构及应用系统功能，②熟悉本系统的实施情况，③能充分理解本次项目的实际需求) 方案详细具体、科学合理、可行性高，得（15-20]分； 方案较详细、较合理、可行性较高，得（10-15]分； 方案一般、可行性一般的，得（5-10]分； 不提供方案的，得[0-5]分。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针对项目运维服务方案： 服务方案全面具体、针对性强，管理责任清晰， 服务标准高，质量标准明确、考核办法完备，且具有优秀的可操作性、及可行性；（8-12分] 服务方案较为全面 、针对性较好，管理责任较 为清晰，服务标准较高，质量标准较为明确 、考核办法较为 完备 ，且具有良好的可操作性 、及可行性；（4-8分] 服务方案内容一般或缺失、针对性差、管理责任欠缺清晰，服务标准低，可行性较差 ，或需要优化后才能满足项目需要。(0-4分]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提供切实可行的应急响应方案。 应急响应方案科学详细清晰，技术应急响应时间短、效果明显；（10-15分] 应急响应方案科学详细，技术应急响应时间较短、效果较明显；（5-10分] 应急响应方案模糊，技术应急响应时间长、效果不明显。（ 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1.依据磋商响应文件所提供的对本项目工作重点及难点的分析以及拟采用的解决方案和合理化建议： 1、方案及建议合理、可行、全面得（2-4]分； 2、方案及建议基本合理可行，但内容不全得（1-2]分； 3、方案及建议欠缺、不利于实施得（0-1]； 4、未提供不计分。 2.依据磋商响应文件所提供的针对本项目的相关服务承诺（包含人员到位承诺、服务响应时间及其他实质性承诺），从其承诺内容及承诺是否可行等方面： 1、承诺合理、可行、全面得（2-4]分； 2、承诺基本合理可行，但内容不全得（1-2]分； 3、承诺欠缺、不利于实施得（0-1]；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（须提供相关工作经验、相关资质等证明材料）等方面，横向比较，自主排序赋分： 1、针对本项目的实施团队人员充足，组织架构合理，岗位职责明确，项目人员专业技术能力强，同类项目工作经验丰富，提供服务人员10人以上，得(15-20]分； 2、针对本项目的实施团队人员较充足，组织架构较合理，岗位职责较明确，项目人员专业技术能力较强，同类项目工作经验较少，提供服务人员5人以上，得(8-15]分； 3、针对本项目的实施团队人员较少，组织架构不合理，岗位职责混乱，项目人员专业技术能力差，缺乏同类项目工作经验，提供服务人员5人以下，得（0-8]分。 注：提供拟派本项目工作人员组成情况（有具体成员名单，包括姓名、工作经验、工作职责、联系方式等。项目所有参与人员需递交响应文件截止之日前连续6个月的社会保险缴纳证明（入职未满6个月，按实际入职时间提供社会保险缴纳证明；若入职时间短未缴纳社会保险，需提供劳动合同，不提供本项要求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依据磋商响应文件所提供项目负责人相关信息，根据项目负责人专业证书、职称证书及相关工作经验（提供2019年1月1日以来同类项目成功实施案例证明材料，以合同复印件或相关证明材料复印件为准）： 1、负责人经验丰富，专业能力强，得（3-5]分； 2、负责人有相关经验，但专业能力较弱，得（1-3]分； 3、负责人无相关经验，且专业能力弱，（0-1]。</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提供2021年1月1日至今承接类似信息化运维项目业绩，每个得2分，满分10分。（时间以合同签订时间为准）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详见附件：驾驶员培训监管合同模板.docx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