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版本号：DQB-2025021-CS20250429001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关于开展新媒体等营销宣传项目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DQB-2025021-CS</w:t>
      </w:r>
      <w:r>
        <w:br/>
      </w:r>
      <w:r>
        <w:br/>
      </w:r>
      <w:r>
        <w:br/>
      </w:r>
    </w:p>
    <w:p>
      <w:pPr>
        <w:pStyle w:val="null3"/>
        <w:jc w:val="center"/>
        <w:outlineLvl w:val="2"/>
      </w:pPr>
      <w:r>
        <w:rPr>
          <w:rFonts w:ascii="仿宋_GB2312" w:hAnsi="仿宋_GB2312" w:cs="仿宋_GB2312" w:eastAsia="仿宋_GB2312"/>
          <w:sz w:val="28"/>
          <w:b/>
        </w:rPr>
        <w:t>陕西省福利彩票发行中心</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陕西省福利彩票发行中心</w:t>
      </w:r>
      <w:r>
        <w:rPr>
          <w:rFonts w:ascii="仿宋_GB2312" w:hAnsi="仿宋_GB2312" w:cs="仿宋_GB2312" w:eastAsia="仿宋_GB2312"/>
        </w:rPr>
        <w:t>委托，拟对</w:t>
      </w:r>
      <w:r>
        <w:rPr>
          <w:rFonts w:ascii="仿宋_GB2312" w:hAnsi="仿宋_GB2312" w:cs="仿宋_GB2312" w:eastAsia="仿宋_GB2312"/>
        </w:rPr>
        <w:t>关于开展新媒体等营销宣传项目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DQB-2025021-CS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关于开展新媒体等营销宣传项目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陕西省福利彩票发行中心关于开展新媒体等营销宣传项目。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采购包1（关于开展新媒体等营销宣传项目）：属于专门面向中小企业采购。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1、营业执照等主体资格证明文件：提供企业营业执照/事业单位法人证书/专业服务机构执业许可证/民办非企业单位登记证书。</w:t>
      </w:r>
    </w:p>
    <w:p>
      <w:pPr>
        <w:pStyle w:val="null3"/>
      </w:pPr>
      <w:r>
        <w:rPr>
          <w:rFonts w:ascii="仿宋_GB2312" w:hAnsi="仿宋_GB2312" w:cs="仿宋_GB2312" w:eastAsia="仿宋_GB2312"/>
        </w:rPr>
        <w:t>2、财务状况报告：提供2023或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响应文件中）；法定代表人授权他人参加磋商的，须提供法定代表人授权委托书。磋商文件中凡是需要法定代表人盖章之处，非法人单位的负责人均参照执行。法人的分支机构参与磋商时，除提供《法定代表人授权委托书》、《法定代表人证明书》外，还须同时提供法人给分支机构出具的授权书。</w:t>
      </w:r>
    </w:p>
    <w:p>
      <w:pPr>
        <w:pStyle w:val="null3"/>
      </w:pPr>
      <w:r>
        <w:rPr>
          <w:rFonts w:ascii="仿宋_GB2312" w:hAnsi="仿宋_GB2312" w:cs="仿宋_GB2312" w:eastAsia="仿宋_GB2312"/>
        </w:rPr>
        <w:t>10、本项目不接受联合体响应，不允许分包：供应商应提供《非联合体不分包响应声明》，视为独立磋商，不分包。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陕西省福利彩票发行中心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西安市未央路副102号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65652528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李浩、罗宇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采购包1：792,000.00元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银行账号：52880188000025295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代理服务费收费标准：成交金额100万元及以下，按照费率1.5%计取。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陕西省福利彩票发行中心</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陕西省福利彩票发行中心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陕西省福利彩票发行中心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联系人：李浩、罗宇</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陕西省福利彩票发行中心关于开展新媒体等营销宣传项目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792,000.00</w:t>
      </w:r>
    </w:p>
    <w:p>
      <w:pPr>
        <w:pStyle w:val="null3"/>
      </w:pPr>
      <w:r>
        <w:rPr>
          <w:rFonts w:ascii="仿宋_GB2312" w:hAnsi="仿宋_GB2312" w:cs="仿宋_GB2312" w:eastAsia="仿宋_GB2312"/>
        </w:rPr>
        <w:t>采购包最高限价（元）: 792,000.00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新媒体等营销宣传活动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标的名称：新媒体等营销宣传活动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left"/>
            </w:pPr>
            <w:r>
              <w:rPr>
                <w:rFonts w:ascii="仿宋_GB2312" w:hAnsi="仿宋_GB2312" w:cs="仿宋_GB2312" w:eastAsia="仿宋_GB2312"/>
                <w:sz w:val="21"/>
                <w:color w:val="000000"/>
              </w:rPr>
              <w:t>一、</w:t>
            </w:r>
            <w:r>
              <w:rPr>
                <w:rFonts w:ascii="仿宋_GB2312" w:hAnsi="仿宋_GB2312" w:cs="仿宋_GB2312" w:eastAsia="仿宋_GB2312"/>
                <w:sz w:val="21"/>
                <w:color w:val="000000"/>
              </w:rPr>
              <w:t>项目概况</w:t>
            </w:r>
          </w:p>
          <w:p>
            <w:pPr>
              <w:pStyle w:val="null3"/>
              <w:ind w:firstLine="420"/>
              <w:jc w:val="left"/>
            </w:pPr>
            <w:r>
              <w:rPr>
                <w:rFonts w:ascii="仿宋_GB2312" w:hAnsi="仿宋_GB2312" w:cs="仿宋_GB2312" w:eastAsia="仿宋_GB2312"/>
                <w:sz w:val="21"/>
                <w:color w:val="000000"/>
              </w:rPr>
              <w:t>为</w:t>
            </w:r>
            <w:r>
              <w:rPr>
                <w:rFonts w:ascii="仿宋_GB2312" w:hAnsi="仿宋_GB2312" w:cs="仿宋_GB2312" w:eastAsia="仿宋_GB2312"/>
                <w:sz w:val="21"/>
                <w:color w:val="000000"/>
              </w:rPr>
              <w:t>进一步塑造福利彩票公益品牌形象，激发福利彩票全票种市场活力，发挥陕西福彩抖音官方账号在新媒体主阵地的宣传积极性，持续提升陕西福彩文化品牌影响力，传播公益理念</w:t>
            </w:r>
            <w:r>
              <w:rPr>
                <w:rFonts w:ascii="仿宋_GB2312" w:hAnsi="仿宋_GB2312" w:cs="仿宋_GB2312" w:eastAsia="仿宋_GB2312"/>
                <w:sz w:val="21"/>
                <w:color w:val="000000"/>
              </w:rPr>
              <w:t>，拟对</w:t>
            </w:r>
            <w:r>
              <w:rPr>
                <w:rFonts w:ascii="仿宋_GB2312" w:hAnsi="仿宋_GB2312" w:cs="仿宋_GB2312" w:eastAsia="仿宋_GB2312"/>
                <w:sz w:val="21"/>
                <w:color w:val="000000"/>
              </w:rPr>
              <w:t>新媒体营销宣传广告</w:t>
            </w:r>
            <w:r>
              <w:rPr>
                <w:rFonts w:ascii="仿宋_GB2312" w:hAnsi="仿宋_GB2312" w:cs="仿宋_GB2312" w:eastAsia="仿宋_GB2312"/>
                <w:sz w:val="21"/>
                <w:color w:val="000000"/>
              </w:rPr>
              <w:t>项目进行采购</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二、</w:t>
            </w:r>
            <w:r>
              <w:rPr>
                <w:rFonts w:ascii="仿宋_GB2312" w:hAnsi="仿宋_GB2312" w:cs="仿宋_GB2312" w:eastAsia="仿宋_GB2312"/>
                <w:sz w:val="21"/>
                <w:color w:val="000000"/>
              </w:rPr>
              <w:t>采购</w:t>
            </w:r>
            <w:r>
              <w:rPr>
                <w:rFonts w:ascii="仿宋_GB2312" w:hAnsi="仿宋_GB2312" w:cs="仿宋_GB2312" w:eastAsia="仿宋_GB2312"/>
                <w:sz w:val="21"/>
                <w:color w:val="000000"/>
              </w:rPr>
              <w:t>内容</w:t>
            </w:r>
          </w:p>
          <w:tbl>
            <w:tblPr>
              <w:tblInd w:type="dxa" w:w="120"/>
              <w:tblBorders>
                <w:top w:val="none" w:color="000000" w:sz="4"/>
                <w:left w:val="none" w:color="000000" w:sz="4"/>
                <w:bottom w:val="none" w:color="000000" w:sz="4"/>
                <w:right w:val="none" w:color="000000" w:sz="4"/>
                <w:insideH w:val="none"/>
                <w:insideV w:val="none"/>
              </w:tblBorders>
            </w:tblPr>
            <w:tblGrid>
              <w:gridCol w:w="411"/>
              <w:gridCol w:w="682"/>
              <w:gridCol w:w="474"/>
              <w:gridCol w:w="476"/>
              <w:gridCol w:w="508"/>
            </w:tblGrid>
            <w:tr>
              <w:tc>
                <w:tcPr>
                  <w:tcW w:type="dxa" w:w="4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发布媒体</w:t>
                  </w:r>
                </w:p>
              </w:tc>
              <w:tc>
                <w:tcPr>
                  <w:tcW w:type="dxa" w:w="6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投放形式</w:t>
                  </w:r>
                </w:p>
              </w:tc>
              <w:tc>
                <w:tcPr>
                  <w:tcW w:type="dxa" w:w="4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发布时间</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服务期内</w:t>
                  </w:r>
                  <w:r>
                    <w:rPr>
                      <w:rFonts w:ascii="仿宋_GB2312" w:hAnsi="仿宋_GB2312" w:cs="仿宋_GB2312" w:eastAsia="仿宋_GB2312"/>
                      <w:sz w:val="24"/>
                      <w:color w:val="000000"/>
                    </w:rPr>
                    <w:t>)</w:t>
                  </w:r>
                </w:p>
              </w:tc>
              <w:tc>
                <w:tcPr>
                  <w:tcW w:type="dxa" w:w="47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投放规格</w:t>
                  </w:r>
                </w:p>
              </w:tc>
              <w:tc>
                <w:tcPr>
                  <w:tcW w:type="dxa" w:w="50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投放量</w:t>
                  </w:r>
                </w:p>
              </w:tc>
            </w:tr>
            <w:tr>
              <w:tc>
                <w:tcPr>
                  <w:tcW w:type="dxa" w:w="41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抖音</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信息流广告</w:t>
                  </w:r>
                  <w:r>
                    <w:rPr>
                      <w:rFonts w:ascii="仿宋_GB2312" w:hAnsi="仿宋_GB2312" w:cs="仿宋_GB2312" w:eastAsia="仿宋_GB2312"/>
                      <w:sz w:val="21"/>
                      <w:color w:val="000000"/>
                    </w:rPr>
                    <w:t>，</w:t>
                  </w:r>
                  <w:r>
                    <w:rPr>
                      <w:rFonts w:ascii="仿宋_GB2312" w:hAnsi="仿宋_GB2312" w:cs="仿宋_GB2312" w:eastAsia="仿宋_GB2312"/>
                      <w:sz w:val="21"/>
                      <w:color w:val="000000"/>
                    </w:rPr>
                    <w:t>定向西安</w:t>
                  </w:r>
                </w:p>
              </w:tc>
              <w:tc>
                <w:tcPr>
                  <w:tcW w:type="dxa" w:w="4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40天</w:t>
                  </w:r>
                </w:p>
              </w:tc>
              <w:tc>
                <w:tcPr>
                  <w:tcW w:type="dxa" w:w="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200cpm/天</w:t>
                  </w:r>
                </w:p>
              </w:tc>
              <w:tc>
                <w:tcPr>
                  <w:tcW w:type="dxa" w:w="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8000cpm</w:t>
                  </w:r>
                </w:p>
              </w:tc>
            </w:tr>
            <w:tr>
              <w:tc>
                <w:tcPr>
                  <w:tcW w:type="dxa" w:w="411"/>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开屏广告</w:t>
                  </w:r>
                  <w:r>
                    <w:rPr>
                      <w:rFonts w:ascii="仿宋_GB2312" w:hAnsi="仿宋_GB2312" w:cs="仿宋_GB2312" w:eastAsia="仿宋_GB2312"/>
                      <w:sz w:val="21"/>
                      <w:color w:val="000000"/>
                    </w:rPr>
                    <w:t>，</w:t>
                  </w:r>
                  <w:r>
                    <w:rPr>
                      <w:rFonts w:ascii="仿宋_GB2312" w:hAnsi="仿宋_GB2312" w:cs="仿宋_GB2312" w:eastAsia="仿宋_GB2312"/>
                      <w:sz w:val="21"/>
                      <w:color w:val="000000"/>
                    </w:rPr>
                    <w:t>定向西安</w:t>
                  </w:r>
                </w:p>
              </w:tc>
              <w:tc>
                <w:tcPr>
                  <w:tcW w:type="dxa" w:w="4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14天</w:t>
                  </w:r>
                </w:p>
              </w:tc>
              <w:tc>
                <w:tcPr>
                  <w:tcW w:type="dxa" w:w="4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200cpm/天</w:t>
                  </w:r>
                </w:p>
              </w:tc>
              <w:tc>
                <w:tcPr>
                  <w:tcW w:type="dxa" w:w="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2800cpm</w:t>
                  </w:r>
                </w:p>
              </w:tc>
            </w:tr>
          </w:tbl>
          <w:p>
            <w:pPr>
              <w:pStyle w:val="null3"/>
              <w:ind w:firstLine="420"/>
              <w:jc w:val="left"/>
            </w:pPr>
            <w:r>
              <w:rPr>
                <w:rFonts w:ascii="仿宋_GB2312" w:hAnsi="仿宋_GB2312" w:cs="仿宋_GB2312" w:eastAsia="仿宋_GB2312"/>
                <w:sz w:val="21"/>
                <w:color w:val="000000"/>
              </w:rPr>
              <w:t>注：以上媒体省福彩中心可根据工作需要进行调整，</w:t>
            </w:r>
            <w:r>
              <w:rPr>
                <w:rFonts w:ascii="仿宋_GB2312" w:hAnsi="仿宋_GB2312" w:cs="仿宋_GB2312" w:eastAsia="仿宋_GB2312"/>
                <w:sz w:val="21"/>
                <w:color w:val="000000"/>
              </w:rPr>
              <w:t>供应商应无条件按照采购人安排，</w:t>
            </w:r>
            <w:r>
              <w:rPr>
                <w:rFonts w:ascii="仿宋_GB2312" w:hAnsi="仿宋_GB2312" w:cs="仿宋_GB2312" w:eastAsia="仿宋_GB2312"/>
                <w:sz w:val="21"/>
                <w:color w:val="000000"/>
              </w:rPr>
              <w:t>在上述媒体中进行等价资源替换。</w:t>
            </w:r>
          </w:p>
          <w:p>
            <w:pPr>
              <w:pStyle w:val="null3"/>
              <w:ind w:firstLine="420"/>
              <w:jc w:val="left"/>
            </w:pPr>
            <w:r>
              <w:rPr>
                <w:rFonts w:ascii="仿宋_GB2312" w:hAnsi="仿宋_GB2312" w:cs="仿宋_GB2312" w:eastAsia="仿宋_GB2312"/>
                <w:sz w:val="21"/>
                <w:color w:val="000000"/>
              </w:rPr>
              <w:t>三、</w:t>
            </w:r>
            <w:r>
              <w:rPr>
                <w:rFonts w:ascii="仿宋_GB2312" w:hAnsi="仿宋_GB2312" w:cs="仿宋_GB2312" w:eastAsia="仿宋_GB2312"/>
                <w:sz w:val="21"/>
                <w:color w:val="000000"/>
              </w:rPr>
              <w:t>技术要求</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投放方式</w:t>
            </w:r>
          </w:p>
          <w:p>
            <w:pPr>
              <w:pStyle w:val="null3"/>
              <w:ind w:firstLine="420"/>
              <w:jc w:val="left"/>
            </w:pPr>
            <w:r>
              <w:rPr>
                <w:rFonts w:ascii="仿宋_GB2312" w:hAnsi="仿宋_GB2312" w:cs="仿宋_GB2312" w:eastAsia="仿宋_GB2312"/>
                <w:sz w:val="21"/>
                <w:color w:val="000000"/>
              </w:rPr>
              <w:t>统一采购、分段投放。</w:t>
            </w:r>
          </w:p>
          <w:p>
            <w:pPr>
              <w:pStyle w:val="null3"/>
              <w:ind w:firstLine="420"/>
              <w:jc w:val="left"/>
            </w:pPr>
            <w:r>
              <w:rPr>
                <w:rFonts w:ascii="仿宋_GB2312" w:hAnsi="仿宋_GB2312" w:cs="仿宋_GB2312" w:eastAsia="仿宋_GB2312"/>
                <w:sz w:val="21"/>
                <w:color w:val="000000"/>
              </w:rPr>
              <w:t>具体分段方式及每个阶段的持续时间由省福彩中心指定。</w:t>
            </w:r>
          </w:p>
          <w:p>
            <w:pPr>
              <w:pStyle w:val="null3"/>
              <w:ind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投放时间</w:t>
            </w:r>
          </w:p>
          <w:p>
            <w:pPr>
              <w:pStyle w:val="null3"/>
              <w:ind w:firstLine="420"/>
              <w:jc w:val="left"/>
            </w:pPr>
            <w:r>
              <w:rPr>
                <w:rFonts w:ascii="仿宋_GB2312" w:hAnsi="仿宋_GB2312" w:cs="仿宋_GB2312" w:eastAsia="仿宋_GB2312"/>
                <w:sz w:val="21"/>
                <w:color w:val="000000"/>
              </w:rPr>
              <w:t>具体日期由省福彩中心根据公益营销活动的需求指定。</w:t>
            </w:r>
          </w:p>
          <w:p>
            <w:pPr>
              <w:pStyle w:val="null3"/>
              <w:ind w:firstLine="4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投放素材</w:t>
            </w:r>
          </w:p>
          <w:p>
            <w:pPr>
              <w:pStyle w:val="null3"/>
              <w:ind w:firstLine="420"/>
              <w:jc w:val="left"/>
            </w:pPr>
            <w:r>
              <w:rPr>
                <w:rFonts w:ascii="仿宋_GB2312" w:hAnsi="仿宋_GB2312" w:cs="仿宋_GB2312" w:eastAsia="仿宋_GB2312"/>
                <w:sz w:val="21"/>
                <w:color w:val="000000"/>
              </w:rPr>
              <w:t>为省福彩中心指定的宣传活动制作投放所需的宣传图片和视频广告，撰写软文，编辑落地页面。</w:t>
            </w:r>
          </w:p>
          <w:p>
            <w:pPr>
              <w:pStyle w:val="null3"/>
              <w:ind w:firstLine="42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投放内容</w:t>
            </w:r>
          </w:p>
          <w:p>
            <w:pPr>
              <w:pStyle w:val="null3"/>
              <w:ind w:firstLine="420"/>
              <w:jc w:val="left"/>
            </w:pPr>
            <w:r>
              <w:rPr>
                <w:rFonts w:ascii="仿宋_GB2312" w:hAnsi="仿宋_GB2312" w:cs="仿宋_GB2312" w:eastAsia="仿宋_GB2312"/>
                <w:sz w:val="21"/>
                <w:color w:val="000000"/>
              </w:rPr>
              <w:t>每阶段投放对应独立的活动内容，具体投放内容由省福彩中心指定。</w:t>
            </w:r>
          </w:p>
          <w:p>
            <w:pPr>
              <w:pStyle w:val="null3"/>
              <w:ind w:firstLine="420"/>
              <w:jc w:val="left"/>
            </w:pPr>
            <w:r>
              <w:rPr>
                <w:rFonts w:ascii="仿宋_GB2312" w:hAnsi="仿宋_GB2312" w:cs="仿宋_GB2312" w:eastAsia="仿宋_GB2312"/>
                <w:sz w:val="21"/>
                <w:color w:val="000000"/>
              </w:rPr>
              <w:t>四、</w:t>
            </w:r>
            <w:r>
              <w:rPr>
                <w:rFonts w:ascii="仿宋_GB2312" w:hAnsi="仿宋_GB2312" w:cs="仿宋_GB2312" w:eastAsia="仿宋_GB2312"/>
                <w:sz w:val="21"/>
                <w:color w:val="000000"/>
              </w:rPr>
              <w:t>服务要求</w:t>
            </w:r>
          </w:p>
          <w:p>
            <w:pPr>
              <w:pStyle w:val="null3"/>
              <w:ind w:firstLine="420"/>
              <w:jc w:val="left"/>
            </w:pPr>
            <w:r>
              <w:rPr>
                <w:rFonts w:ascii="仿宋_GB2312" w:hAnsi="仿宋_GB2312" w:cs="仿宋_GB2312" w:eastAsia="仿宋_GB2312"/>
                <w:sz w:val="21"/>
                <w:color w:val="000000"/>
              </w:rPr>
              <w:t>1.供应商应具备投放媒体认可的广告投放资质。</w:t>
            </w:r>
          </w:p>
          <w:p>
            <w:pPr>
              <w:pStyle w:val="null3"/>
              <w:ind w:firstLine="420"/>
              <w:jc w:val="left"/>
            </w:pPr>
            <w:r>
              <w:rPr>
                <w:rFonts w:ascii="仿宋_GB2312" w:hAnsi="仿宋_GB2312" w:cs="仿宋_GB2312" w:eastAsia="仿宋_GB2312"/>
                <w:sz w:val="21"/>
                <w:color w:val="000000"/>
              </w:rPr>
              <w:t>2.供应商应通过投放媒体提供的官方渠道完成广告投放，如需使用第三方渠道的，须提供相应媒体平台官方出具的合法性证明。</w:t>
            </w:r>
          </w:p>
          <w:p>
            <w:pPr>
              <w:pStyle w:val="null3"/>
              <w:ind w:firstLine="420"/>
              <w:jc w:val="left"/>
            </w:pPr>
            <w:r>
              <w:rPr>
                <w:rFonts w:ascii="仿宋_GB2312" w:hAnsi="仿宋_GB2312" w:cs="仿宋_GB2312" w:eastAsia="仿宋_GB2312"/>
                <w:sz w:val="21"/>
                <w:color w:val="000000"/>
              </w:rPr>
              <w:t>3.每阶段投放的起始日期、投放内容及投放数量均由省福彩中心根据实际业务需求即时调配，供应商应预先做好与各平台的沟通协调，确保能够完全按照省福彩中心的要求完成投放。</w:t>
            </w:r>
          </w:p>
          <w:p>
            <w:pPr>
              <w:pStyle w:val="null3"/>
              <w:ind w:firstLine="420"/>
              <w:jc w:val="left"/>
            </w:pPr>
            <w:r>
              <w:rPr>
                <w:rFonts w:ascii="仿宋_GB2312" w:hAnsi="仿宋_GB2312" w:cs="仿宋_GB2312" w:eastAsia="仿宋_GB2312"/>
                <w:sz w:val="21"/>
                <w:color w:val="000000"/>
              </w:rPr>
              <w:t>4.为投放设计的软文、图片、视频等宣传素材须经由省福彩中心审核通过后方可使用。</w:t>
            </w:r>
          </w:p>
          <w:p>
            <w:pPr>
              <w:pStyle w:val="null3"/>
              <w:ind w:firstLine="420"/>
              <w:jc w:val="left"/>
            </w:pPr>
            <w:r>
              <w:rPr>
                <w:rFonts w:ascii="仿宋_GB2312" w:hAnsi="仿宋_GB2312" w:cs="仿宋_GB2312" w:eastAsia="仿宋_GB2312"/>
                <w:sz w:val="21"/>
                <w:color w:val="000000"/>
              </w:rPr>
              <w:t>5.供应商应确保广告设计过程中使用的所有素材不涉及版权纠纷。</w:t>
            </w:r>
          </w:p>
          <w:p>
            <w:pPr>
              <w:pStyle w:val="null3"/>
              <w:jc w:val="left"/>
            </w:pPr>
            <w:r>
              <w:rPr>
                <w:rFonts w:ascii="仿宋_GB2312" w:hAnsi="仿宋_GB2312" w:cs="仿宋_GB2312" w:eastAsia="仿宋_GB2312"/>
                <w:sz w:val="21"/>
                <w:color w:val="000000"/>
              </w:rPr>
              <w:t>6.投放过程中使用的所有宣传素材，其版权归省福彩中心所有，未经省福彩中心许可不得随意传播或用于任何商业用途。</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人员配置需满足项目要求。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设施设备需满足项目要求。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乙方完成本项目40%以上的投放工作，提供相应真实、合法有效并符合国家法律法规的投放证明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乙方完成本合同全部投放要求后，并提供验收资料，经甲方验收合格并组织专家进行评审通过后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贰份；若电子响应文件与纸质响应文件不一致的，以电子响应文件为准；(2)响应文件正、副本分别各自装订成册密封（在书脊处标明项目名称、供应商名称（机打或手写均可），逐页标注连续页码），在封口处加盖供应商公章；(3)纸质响应文件递交截止时间与线上开评标时间一致；(4)纸质响应文件可邮寄递交，应于递交响应文件截止时间前邮寄到代理机构(地址：陕西省西安市高新区丈八一路1号汇鑫中心D座2206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提供企业营业执照/事业单位法人证书/专业服务机构执业许可证/民办非企业单位登记证书。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磋商文件中凡是需要法定代表人盖章之处，非法人单位的负责人均参照执行。法人的分支机构参与磋商时，除提供《法定代表人授权委托书》、《法定代表人证明书》外，还须同时提供法人给分支机构出具的授权书。</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本项目不接受联合体响应，不允许分包</w:t>
            </w:r>
          </w:p>
        </w:tc>
        <w:tc>
          <w:tcPr>
            <w:tcW w:type="dxa" w:w="3322"/>
          </w:tcPr>
          <w:p>
            <w:pPr>
              <w:pStyle w:val="null3"/>
            </w:pPr>
            <w:r>
              <w:rPr>
                <w:rFonts w:ascii="仿宋_GB2312" w:hAnsi="仿宋_GB2312" w:cs="仿宋_GB2312" w:eastAsia="仿宋_GB2312"/>
              </w:rPr>
              <w:t>供应商应提供《非联合体不分包响应声明》，视为独立磋商，不分包。</w:t>
            </w:r>
          </w:p>
        </w:tc>
        <w:tc>
          <w:tcPr>
            <w:tcW w:type="dxa" w:w="1661"/>
          </w:tcPr>
          <w:p>
            <w:pPr>
              <w:pStyle w:val="null3"/>
            </w:pPr>
            <w:r>
              <w:rPr>
                <w:rFonts w:ascii="仿宋_GB2312" w:hAnsi="仿宋_GB2312" w:cs="仿宋_GB2312" w:eastAsia="仿宋_GB2312"/>
              </w:rPr>
              <w:t>非联合体不分包响应声明.docx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保证金汇款声明函.docx 服务内容及服务邀请应答表 中小企业声明函 商务应答表 供应商应提交的相关资格证明材料 报价表 控股管理关系.docx 法定代表人授权书.docx 响应文件封面 分项报价表.docx 书面声明.docx 残疾人福利性单位声明函 服务方案 标的清单 非联合体不分包响应声明.docx 响应函 近三年无重大违法、违纪书面声明.docx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响应文件封面、响应函、法定代表人（负责人）授权委托书三处的项目名称、项目编号、标段（如有）</w:t>
            </w:r>
          </w:p>
        </w:tc>
        <w:tc>
          <w:tcPr>
            <w:tcW w:type="dxa" w:w="3322"/>
          </w:tcPr>
          <w:p>
            <w:pPr>
              <w:pStyle w:val="null3"/>
            </w:pPr>
            <w:r>
              <w:rPr>
                <w:rFonts w:ascii="仿宋_GB2312" w:hAnsi="仿宋_GB2312" w:cs="仿宋_GB2312" w:eastAsia="仿宋_GB2312"/>
              </w:rPr>
              <w:t>三处均无遗漏，且与所投项目名称、项目编号、标段（如有）一致。</w:t>
            </w:r>
          </w:p>
        </w:tc>
        <w:tc>
          <w:tcPr>
            <w:tcW w:type="dxa" w:w="1661"/>
          </w:tcPr>
          <w:p>
            <w:pPr>
              <w:pStyle w:val="null3"/>
            </w:pPr>
            <w:r>
              <w:rPr>
                <w:rFonts w:ascii="仿宋_GB2312" w:hAnsi="仿宋_GB2312" w:cs="仿宋_GB2312" w:eastAsia="仿宋_GB2312"/>
              </w:rPr>
              <w:t>响应文件封面 响应函 法定代表人授权书.docx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保证金汇款声明函.docx 中小企业声明函 供应商应提交的相关资格证明材料 报价表 控股管理关系.docx 法定代表人授权书.docx 响应文件封面 书面声明.docx 残疾人福利性单位声明函 标的清单 非联合体不分包响应声明.docx 响应函 近三年无重大违法、违纪书面声明.docx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（2）响应报价表填写符合要求；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分项报价表.docx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完全理解接受并签署磋商文件商务条款响应表。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保证金汇款声明函.docx 服务内容及服务邀请应答表 中小企业声明函 商务应答表 供应商应提交的相关资格证明材料 报价表 控股管理关系.docx 法定代表人授权书.docx 响应文件封面 分项报价表.docx 书面声明.docx 残疾人福利性单位声明函 服务方案 标的清单 非联合体不分包响应声明.docx 响应函 近三年无重大违法、违纪书面声明.docx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供应商对本项目背景、服务内容、目标需求理解全面，分析到位、各媒体渠道具有合法的来源等具体方案及项目整体实施方案。 1.方案及主要实施措施完善，合理，具有针对性、科学可行，符合本项目的要求得12分； 2.方案较完善合理，可行性较强的得8分； 3.方案详细性、合理性、可操作性一般的得4分； 4.未提供的不得分。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宣传方案</w:t>
            </w:r>
          </w:p>
        </w:tc>
        <w:tc>
          <w:tcPr>
            <w:tcW w:type="dxa" w:w="2492"/>
          </w:tcPr>
          <w:p>
            <w:pPr>
              <w:pStyle w:val="null3"/>
            </w:pPr>
            <w:r>
              <w:rPr>
                <w:rFonts w:ascii="仿宋_GB2312" w:hAnsi="仿宋_GB2312" w:cs="仿宋_GB2312" w:eastAsia="仿宋_GB2312"/>
              </w:rPr>
              <w:t>针对本项目提供关于陕西福彩品牌推广广告宣传策划，有具体宣传设计方案，且科学、合理、完善。 1.方案内容具体、完整、详细、全面，能保证顺利实施的，计12分； 2.方案内容较完整、详细的，能保证项目基础实施的，计8分； 3.方案内容有欠缺、内容薄弱的，有细微确缺项计4分； 4.未提供不得分。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实施计划</w:t>
            </w:r>
          </w:p>
        </w:tc>
        <w:tc>
          <w:tcPr>
            <w:tcW w:type="dxa" w:w="2492"/>
          </w:tcPr>
          <w:p>
            <w:pPr>
              <w:pStyle w:val="null3"/>
            </w:pPr>
            <w:r>
              <w:rPr>
                <w:rFonts w:ascii="仿宋_GB2312" w:hAnsi="仿宋_GB2312" w:cs="仿宋_GB2312" w:eastAsia="仿宋_GB2312"/>
              </w:rPr>
              <w:t>根据采购要求针对不同媒体平台有相应的宣传方案及投放计划。（包括但不限于福利彩票营销宣传、提升广告策划、广告制作、维系良好的媒体合作关系等）。 1.投放方案安排科学、合理，各媒体平台服务计划安排满足采购人需求，计12分； 2.方案简单，各媒体平台服务计划安排基本合理，计8分； 3.方案不完整，各媒体平台服务计划不利于项目实施，计4分； 4.未提供不得分。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难点、重点分析及服务承诺</w:t>
            </w:r>
          </w:p>
        </w:tc>
        <w:tc>
          <w:tcPr>
            <w:tcW w:type="dxa" w:w="2492"/>
          </w:tcPr>
          <w:p>
            <w:pPr>
              <w:pStyle w:val="null3"/>
            </w:pPr>
            <w:r>
              <w:rPr>
                <w:rFonts w:ascii="仿宋_GB2312" w:hAnsi="仿宋_GB2312" w:cs="仿宋_GB2312" w:eastAsia="仿宋_GB2312"/>
              </w:rPr>
              <w:t>供应商须对项目实施过程中存在的难点、重点分析透彻、有预期效果，若未能达到预期效果的解决方案，提供相应服务承诺和保证措施，包括但不限于完整的第三方平台合法性证明材料，广告设计的版权有所保障，且有具体的服务措施，针对突发状况的后期跟进服务能力及其他增值服务。 1.重难点分析准确，方案内容具体、完整、详细、全面的，资料齐全，计12分； 2.方案内容较完整、详细的，资料基本齐全，计8分； 3.方案内容有欠缺、内容薄弱的，资料有缺陷，计4分； 4.未提供不得分。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针对本项目有具体的时间进度控制安排保证措施及承诺。 1.思路清晰、内容全面、保证措施及相应承诺详细，完全符合本次采购需求，计5分； 2.思路有偏差、保证措施及相应承诺简单，计2分； 3.未提供不计分。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具有针对本项目实施过程中突发状况，保障项目顺利实施的承诺，以及紧急情况发生后的应急预案。 1.预案完整、合理、可操作性强的，计7分；2.预案较完整、较合理的，计5分； 3.预案不完整、可操作性差的，计2分； 4.未提供不得分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提供针对本项目拟投入的工作人员，成立专门的执行团队配置架构合理，职责明确。有专门的项目负责人，工作人员具备实施经验，且成员间分工明确、职责清晰、任务具体配备的情况及能力证明材料。 1.项目组架构合理、职责明确、经验丰富，团队人员10人以上，完全满足采购需求的，计8分； 2.项目组架构较合理、职责较明确、经验较丰富，团队人员6人以上，较满足采购需求的，计5分； 3.项目组架构不合理、职责未明确、经验差，不满足采购需求的，计3分； 4.未提供不得分。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1.提供2022年1月至今（以合同签订日期为准）类似业绩合同，每份计2分，满分8分。（以响应文件中加盖供应商公章的合同复印件为准）； 2.提供巨量引擎代理证书计2分，未提供不得分.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价格分统一采用低价优先法计算，即满足招标文件要求且投标价格最低的投标报价为评标基准价，其价格分为满分。其他投标供应商的价格分统一按照下列公式计算： 投标报价得分=(评标基准价／投标报价)×价格权值×100计算分数时四舍五入取小数点后两位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详见附件：保证金汇款声明函.docx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详见附件：非联合体不分包响应声明.docx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详见附件：近三年无重大违法、违纪书面声明.docx</w:t>
      </w:r>
    </w:p>
    <w:p>
      <w:pPr>
        <w:pStyle w:val="null3"/>
        <w:ind w:firstLine="960"/>
      </w:pPr>
      <w:r>
        <w:rPr>
          <w:rFonts w:ascii="仿宋_GB2312" w:hAnsi="仿宋_GB2312" w:cs="仿宋_GB2312" w:eastAsia="仿宋_GB2312"/>
        </w:rPr>
        <w:t>详见附件：控股管理关系.docx</w:t>
      </w:r>
    </w:p>
    <w:p>
      <w:pPr>
        <w:pStyle w:val="null3"/>
        <w:ind w:firstLine="960"/>
      </w:pPr>
      <w:r>
        <w:rPr>
          <w:rFonts w:ascii="仿宋_GB2312" w:hAnsi="仿宋_GB2312" w:cs="仿宋_GB2312" w:eastAsia="仿宋_GB2312"/>
        </w:rPr>
        <w:t>详见附件：书面声明.docx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详见附件：参考合同文本.docx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