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版本号：ZCZX2025-DY-05320250429001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2025年春季学期研究生学位论文质量监测服务采购项目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ZCZX2025-DY-053</w:t>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陕西众诚致信管理咨询有限公司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2025年春季学期研究生学位论文质量监测服务采购项目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ZCZX2025-DY-053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2025年春季学期研究生学位论文质量监测服务采购项目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西安建筑科技大学2025年春季学期研究生学位论文质量监测服务采购项目，1项，具体内容详见单一来源采购文件第三部分。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采购全过程，其中法定代表人（或负责人）直接参加的，须出具法定代表人（或负责人）身份证，并与营业执照上信息一致。法定代表人（或负责人）授权代表参加的，须出具授权书及授权代表身份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孟凌 吴芳超 姚海麟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采购包1：2,043,300.00元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采购包1：2,043,300.00元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计取。 2、中标单位的代理服务费交纳信息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西安建筑科技大学2025年春季学期研究生学位论文质量监测服务采购项目，1项。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2,043,300.00</w:t>
      </w:r>
    </w:p>
    <w:p>
      <w:pPr>
        <w:pStyle w:val="null3"/>
      </w:pPr>
      <w:r>
        <w:rPr>
          <w:rFonts w:ascii="仿宋_GB2312" w:hAnsi="仿宋_GB2312" w:cs="仿宋_GB2312" w:eastAsia="仿宋_GB2312"/>
        </w:rPr>
        <w:t>采购包最高限价（元）: 2,043,300.00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2025年春季学期研究生学位论文质量监测服务采购项目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2,043,300.00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标的名称：2025年春季学期研究生学位论文质量监测服务采购项目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项目概述：</w:t>
            </w:r>
          </w:p>
          <w:p>
            <w:pPr>
              <w:pStyle w:val="null3"/>
            </w:pPr>
            <w:r>
              <w:rPr>
                <w:rFonts w:ascii="仿宋_GB2312" w:hAnsi="仿宋_GB2312" w:cs="仿宋_GB2312" w:eastAsia="仿宋_GB2312"/>
                <w:sz w:val="20"/>
                <w:color w:val="000000"/>
              </w:rPr>
              <w:t>根据《西安建筑科技大学关于提升研究生学位论文质量的若干规定》，为保障学位授予质量，我校需进行研究生学位论文答辩前盲审及博士学位论文抽检，需要拥有权威专家的官方平台保证学位论文质量及评议结果权威有效；根据《西安建筑科技大学优秀博（硕）士学位论文评选及奖励办法（修订稿）》，为保证评价标准公正、评价结论一致，需使用官方、专家权威的优秀论文评价平台</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服务内容和标准：</w:t>
            </w:r>
          </w:p>
          <w:p>
            <w:pPr>
              <w:pStyle w:val="null3"/>
            </w:pPr>
            <w:r>
              <w:rPr>
                <w:rFonts w:ascii="仿宋_GB2312" w:hAnsi="仿宋_GB2312" w:cs="仿宋_GB2312" w:eastAsia="仿宋_GB2312"/>
                <w:sz w:val="20"/>
                <w:color w:val="000000"/>
              </w:rPr>
              <w:t>该项目由研究生院统一组织实施，主要对学校春季学期所有的研究生学位论文进行答辩前全盲审评议及博士学位论文抽检，需要拥有权威专家的官方评价平台确保学位论文评议结果权威有效。上述权威专家须为</w:t>
            </w:r>
            <w:r>
              <w:rPr>
                <w:rFonts w:ascii="仿宋_GB2312" w:hAnsi="仿宋_GB2312" w:cs="仿宋_GB2312" w:eastAsia="仿宋_GB2312"/>
                <w:sz w:val="20"/>
                <w:color w:val="000000"/>
              </w:rPr>
              <w:t>“双一流”高校或整体水平高于我校的双非院校的相近学科（专业）专家，平台专家库须涵盖我校所有学科（专业）。评审周期为博士35工作日，硕士30工作日，博士论文评审专家须为博士研究生导师，或至少有正高级职称的专家，硕士论文评审专家必须为硕士研究生导师，或至少具有副高级职称的专家</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3.预计送评博士学位论文 420 篇次、硕士学位论文 4506 篇次，其中使用外国语言文字撰写（不包括文学学科门类）的博士学位论文 0 篇次、硕士学位论文 6 篇次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color w:val="000000"/>
              </w:rPr>
              <w:t>商务要求：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）服务期：</w:t>
            </w:r>
            <w:r>
              <w:rPr>
                <w:rFonts w:ascii="仿宋_GB2312" w:hAnsi="仿宋_GB2312" w:cs="仿宋_GB2312" w:eastAsia="仿宋_GB2312"/>
                <w:sz w:val="20"/>
                <w:color w:val="000000"/>
              </w:rPr>
              <w:t>合同签署之日起至</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9月30日</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）服务地点：采购人指定地点。</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）付款方式：</w:t>
            </w:r>
            <w:r>
              <w:rPr>
                <w:rFonts w:ascii="仿宋_GB2312" w:hAnsi="仿宋_GB2312" w:cs="仿宋_GB2312" w:eastAsia="仿宋_GB2312"/>
                <w:sz w:val="20"/>
              </w:rPr>
              <w:t>（因电子化格式有限，按照本项支付约定响应）</w:t>
            </w:r>
          </w:p>
          <w:p>
            <w:pPr>
              <w:pStyle w:val="null3"/>
              <w:jc w:val="both"/>
            </w:pPr>
            <w:r>
              <w:rPr>
                <w:rFonts w:ascii="仿宋_GB2312" w:hAnsi="仿宋_GB2312" w:cs="仿宋_GB2312" w:eastAsia="仿宋_GB2312"/>
                <w:sz w:val="20"/>
              </w:rPr>
              <w:t>合同签订后，</w:t>
            </w:r>
            <w:r>
              <w:rPr>
                <w:rFonts w:ascii="仿宋_GB2312" w:hAnsi="仿宋_GB2312" w:cs="仿宋_GB2312" w:eastAsia="仿宋_GB2312"/>
                <w:sz w:val="20"/>
              </w:rPr>
              <w:t>2025年6月15日前</w:t>
            </w:r>
            <w:r>
              <w:rPr>
                <w:rFonts w:ascii="仿宋_GB2312" w:hAnsi="仿宋_GB2312" w:cs="仿宋_GB2312" w:eastAsia="仿宋_GB2312"/>
                <w:sz w:val="20"/>
              </w:rPr>
              <w:t>甲方通过银行电汇付给乙方</w:t>
            </w:r>
            <w:r>
              <w:rPr>
                <w:rFonts w:ascii="仿宋_GB2312" w:hAnsi="仿宋_GB2312" w:cs="仿宋_GB2312" w:eastAsia="仿宋_GB2312"/>
                <w:sz w:val="20"/>
              </w:rPr>
              <w:t>合同金额</w:t>
            </w:r>
            <w:r>
              <w:rPr>
                <w:rFonts w:ascii="仿宋_GB2312" w:hAnsi="仿宋_GB2312" w:cs="仿宋_GB2312" w:eastAsia="仿宋_GB2312"/>
                <w:sz w:val="20"/>
              </w:rPr>
              <w:t>60%</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以后每次根据当期实际送审篇次结算费用。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合同签署之日起至2025年9月30日。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合同签订后，2025年6月15日前甲方通过银行电汇付给乙方</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以后每次根据当期实际送审篇次结算费用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西安曲江新区翠华南路 1688号创意盒子 13 层 04 室第三会议室，若电子响应文件与纸质响应文件不一致的，以电子响应文件为准。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响应函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采购全过程，其中法定代表人（或负责人）直接参加的，须出具法定代表人（或负责人）身份证，并与营业执照上信息一致。法定代表人（或负责人）授权代表参加的，须出具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响应文件须按单一来源采购文件要求法定代表人（或负责人）或其授权代表签字</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