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AD8C42">
      <w:pPr>
        <w:pStyle w:val="4"/>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标的名称：</w:t>
      </w:r>
      <w:r>
        <w:rPr>
          <w:rFonts w:hint="eastAsia" w:ascii="宋体" w:hAnsi="宋体" w:eastAsia="宋体" w:cs="宋体"/>
          <w:sz w:val="24"/>
          <w:szCs w:val="24"/>
          <w:lang w:eastAsia="zh-CN"/>
        </w:rPr>
        <w:t>2025年网上录取技术支持服务项目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19"/>
        <w:gridCol w:w="759"/>
        <w:gridCol w:w="6629"/>
      </w:tblGrid>
      <w:tr w14:paraId="299E70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9" w:type="dxa"/>
            <w:vAlign w:val="center"/>
          </w:tcPr>
          <w:p w14:paraId="7FC2F1B5">
            <w:pPr>
              <w:pStyle w:val="4"/>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参数性质</w:t>
            </w:r>
          </w:p>
        </w:tc>
        <w:tc>
          <w:tcPr>
            <w:tcW w:w="759" w:type="dxa"/>
            <w:vAlign w:val="center"/>
          </w:tcPr>
          <w:p w14:paraId="393372C4">
            <w:pPr>
              <w:pStyle w:val="4"/>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序号</w:t>
            </w:r>
          </w:p>
        </w:tc>
        <w:tc>
          <w:tcPr>
            <w:tcW w:w="6629" w:type="dxa"/>
            <w:vAlign w:val="center"/>
          </w:tcPr>
          <w:p w14:paraId="415C034C">
            <w:pPr>
              <w:pStyle w:val="4"/>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技术参数与性能指标</w:t>
            </w:r>
          </w:p>
        </w:tc>
      </w:tr>
      <w:tr w14:paraId="125CC7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097" w:hRule="atLeast"/>
        </w:trPr>
        <w:tc>
          <w:tcPr>
            <w:tcW w:w="919" w:type="dxa"/>
          </w:tcPr>
          <w:p w14:paraId="449AE303">
            <w:pPr>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759" w:type="dxa"/>
            <w:vAlign w:val="center"/>
          </w:tcPr>
          <w:p w14:paraId="5C53F0FD">
            <w:pPr>
              <w:pStyle w:val="4"/>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6629" w:type="dxa"/>
            <w:vAlign w:val="center"/>
          </w:tcPr>
          <w:p w14:paraId="467FA51F">
            <w:pPr>
              <w:spacing w:line="360" w:lineRule="auto"/>
              <w:ind w:firstLine="482" w:firstLineChars="200"/>
              <w:rPr>
                <w:rFonts w:hint="eastAsia" w:ascii="宋体" w:hAnsi="宋体"/>
                <w:b/>
                <w:color w:val="000000"/>
                <w:sz w:val="24"/>
              </w:rPr>
            </w:pPr>
            <w:r>
              <w:rPr>
                <w:rFonts w:hint="eastAsia" w:ascii="宋体" w:hAnsi="宋体"/>
                <w:b/>
                <w:color w:val="000000"/>
                <w:sz w:val="24"/>
              </w:rPr>
              <w:t>一、项目概况</w:t>
            </w:r>
          </w:p>
          <w:p w14:paraId="3D00AC77">
            <w:pPr>
              <w:spacing w:line="360" w:lineRule="auto"/>
              <w:ind w:firstLine="480" w:firstLineChars="200"/>
              <w:jc w:val="left"/>
              <w:rPr>
                <w:rFonts w:ascii="宋体" w:hAnsi="宋体"/>
                <w:color w:val="auto"/>
                <w:sz w:val="24"/>
              </w:rPr>
            </w:pPr>
            <w:r>
              <w:rPr>
                <w:rFonts w:hint="eastAsia" w:ascii="宋体" w:hAnsi="宋体"/>
                <w:sz w:val="24"/>
              </w:rPr>
              <w:t>陕西省普通高校招生录取工作是普通高校考试招生的重要组成部分，事关广大考生切身利益，是全社会关注的热点。对社会稳定有着重要意义，该任务工作性质的严肃性和重要性要求我们严肃认真、积极踏实做好该项任务所涉及的各项工作。网上录取技术性强，与原有的录取工作方式不同，涉及面广、工作协调性强、时间紧、任务重，要求我们全面考虑，尽早落实。普通高校招生采用计算机远程网上录取模式，陕西省教育考试院决定采购陕西省普通高校招生网上录取技术支持项目，项目内容包括：录取网络平台建设及现场技术保障。省外高校通过CERNET进行广域网远程</w:t>
            </w:r>
            <w:r>
              <w:rPr>
                <w:rFonts w:hint="eastAsia" w:ascii="宋体" w:hAnsi="宋体"/>
                <w:color w:val="auto"/>
                <w:sz w:val="24"/>
              </w:rPr>
              <w:t>录取。</w:t>
            </w:r>
          </w:p>
          <w:p w14:paraId="2E5C0626">
            <w:pPr>
              <w:spacing w:line="360" w:lineRule="auto"/>
              <w:ind w:firstLine="480" w:firstLineChars="200"/>
              <w:rPr>
                <w:rFonts w:hint="eastAsia" w:ascii="宋体" w:hAnsi="宋体"/>
                <w:color w:val="000000"/>
                <w:sz w:val="24"/>
              </w:rPr>
            </w:pPr>
            <w:r>
              <w:rPr>
                <w:rFonts w:hint="eastAsia" w:ascii="宋体" w:hAnsi="宋体"/>
                <w:color w:val="auto"/>
                <w:sz w:val="24"/>
              </w:rPr>
              <w:t>1、应高度重视此项工作的重要性和严肃性，安排政治思想好，工作责任心强，具有专业技术水平，能胜任此项工作的优秀教师负责项目的实施。</w:t>
            </w:r>
            <w:r>
              <w:rPr>
                <w:rFonts w:hint="eastAsia" w:ascii="宋体" w:hAnsi="宋体"/>
                <w:color w:val="auto"/>
                <w:sz w:val="24"/>
                <w:lang w:val="en-US" w:eastAsia="zh-CN"/>
              </w:rPr>
              <w:t>在合同期内安排一名高水平专业技术人数人员在省教育考试院驻场工作。</w:t>
            </w:r>
            <w:r>
              <w:rPr>
                <w:rFonts w:hint="eastAsia" w:ascii="宋体" w:hAnsi="宋体"/>
                <w:color w:val="auto"/>
                <w:sz w:val="24"/>
              </w:rPr>
              <w:t>同时还应制定网</w:t>
            </w:r>
            <w:r>
              <w:rPr>
                <w:rFonts w:hint="eastAsia" w:ascii="宋体" w:hAnsi="宋体"/>
                <w:color w:val="000000"/>
                <w:sz w:val="24"/>
              </w:rPr>
              <w:t>上录取技术支持的实施细则，努力做好每个环节的工作安排，确保今年网上录取工作的顺利进行。</w:t>
            </w:r>
          </w:p>
          <w:p w14:paraId="3974527B">
            <w:pPr>
              <w:spacing w:line="360" w:lineRule="auto"/>
              <w:ind w:firstLine="480" w:firstLineChars="200"/>
              <w:rPr>
                <w:rFonts w:hint="eastAsia" w:ascii="宋体" w:hAnsi="宋体"/>
                <w:color w:val="000000"/>
                <w:sz w:val="24"/>
              </w:rPr>
            </w:pPr>
            <w:r>
              <w:rPr>
                <w:rFonts w:hint="eastAsia" w:ascii="宋体" w:hAnsi="宋体"/>
                <w:color w:val="000000"/>
                <w:sz w:val="24"/>
              </w:rPr>
              <w:t>2、网上录取所用软件采用教育部统一提供的软件，安全系统采用教育部统一要求的、北京同方安全公司提供的硬件防火墙和软件WebST。</w:t>
            </w:r>
          </w:p>
          <w:p w14:paraId="0019067F">
            <w:pPr>
              <w:spacing w:line="360" w:lineRule="auto"/>
              <w:ind w:firstLine="480" w:firstLineChars="200"/>
              <w:rPr>
                <w:rFonts w:hint="eastAsia" w:ascii="宋体" w:hAnsi="宋体"/>
                <w:color w:val="000000"/>
                <w:sz w:val="24"/>
              </w:rPr>
            </w:pPr>
            <w:r>
              <w:rPr>
                <w:rFonts w:hint="eastAsia" w:ascii="宋体" w:hAnsi="宋体"/>
                <w:color w:val="000000"/>
                <w:sz w:val="24"/>
              </w:rPr>
              <w:t>3、高度重视网络安全和信息安全。制定详细可行的安全措施和遭受网络攻击以及病毒感染后的应急方案，保护信息安全，确保网上录取工作顺利进行。</w:t>
            </w:r>
          </w:p>
          <w:p w14:paraId="61826A51">
            <w:pPr>
              <w:spacing w:line="360" w:lineRule="auto"/>
              <w:ind w:firstLine="480" w:firstLineChars="200"/>
              <w:rPr>
                <w:rFonts w:hint="eastAsia" w:ascii="宋体" w:hAnsi="宋体"/>
                <w:color w:val="000000"/>
                <w:sz w:val="24"/>
              </w:rPr>
            </w:pPr>
            <w:r>
              <w:rPr>
                <w:rFonts w:hint="eastAsia" w:ascii="宋体" w:hAnsi="宋体"/>
                <w:color w:val="000000"/>
                <w:sz w:val="24"/>
              </w:rPr>
              <w:t>4、负责录取工作人员的应用培训和院校录取人员的远程指导。</w:t>
            </w:r>
          </w:p>
          <w:p w14:paraId="2CA83DD0">
            <w:pPr>
              <w:spacing w:line="360" w:lineRule="auto"/>
              <w:ind w:firstLine="480" w:firstLineChars="200"/>
              <w:rPr>
                <w:rFonts w:hint="eastAsia" w:ascii="宋体" w:hAnsi="宋体"/>
                <w:color w:val="000000"/>
                <w:sz w:val="24"/>
              </w:rPr>
            </w:pPr>
            <w:r>
              <w:rPr>
                <w:rFonts w:hint="eastAsia" w:ascii="宋体" w:hAnsi="宋体"/>
                <w:color w:val="000000"/>
                <w:sz w:val="24"/>
              </w:rPr>
              <w:t>5、负责网上录取系统的计算机网络系统方案设计和实施，录取现场计算机布线方案和强电系统方案，设计方案时要充分考虑网络安全问题。</w:t>
            </w:r>
          </w:p>
          <w:p w14:paraId="6507633E">
            <w:pPr>
              <w:spacing w:line="360" w:lineRule="auto"/>
              <w:ind w:firstLine="480" w:firstLineChars="200"/>
              <w:rPr>
                <w:rFonts w:hint="eastAsia" w:ascii="宋体" w:hAnsi="宋体"/>
                <w:color w:val="000000"/>
                <w:sz w:val="24"/>
              </w:rPr>
            </w:pPr>
            <w:r>
              <w:rPr>
                <w:rFonts w:hint="eastAsia" w:ascii="宋体" w:hAnsi="宋体"/>
                <w:color w:val="000000"/>
                <w:sz w:val="24"/>
              </w:rPr>
              <w:t>6、严格按照行业标准，安排专业人员实施协议中规定的项目内容和录取工作所必须的工作。</w:t>
            </w:r>
          </w:p>
          <w:p w14:paraId="1DA5AF97">
            <w:pPr>
              <w:spacing w:line="360" w:lineRule="auto"/>
              <w:ind w:firstLine="480" w:firstLineChars="200"/>
              <w:rPr>
                <w:rFonts w:hint="eastAsia" w:ascii="宋体" w:hAnsi="宋体"/>
                <w:color w:val="000000"/>
                <w:sz w:val="24"/>
              </w:rPr>
            </w:pPr>
            <w:r>
              <w:rPr>
                <w:rFonts w:hint="eastAsia" w:ascii="宋体" w:hAnsi="宋体"/>
                <w:color w:val="000000"/>
                <w:sz w:val="24"/>
              </w:rPr>
              <w:t>7、提供网上录取系统所需台式计算机、路由器、网络交换机等设备的租借。确保所用设备的性能指标达到网上录取系统要求，设备要有一定的可靠性和稳定性。关键设备要有用冗余和备用设备，预防随时可能出现的故障，以不影响正常的录取工作。</w:t>
            </w:r>
          </w:p>
          <w:p w14:paraId="294AC5FF">
            <w:pPr>
              <w:spacing w:line="360" w:lineRule="auto"/>
              <w:ind w:firstLine="480" w:firstLineChars="200"/>
              <w:rPr>
                <w:rFonts w:hint="eastAsia" w:ascii="宋体" w:hAnsi="宋体"/>
                <w:color w:val="000000"/>
                <w:sz w:val="24"/>
              </w:rPr>
            </w:pPr>
            <w:r>
              <w:rPr>
                <w:rFonts w:hint="eastAsia" w:ascii="宋体" w:hAnsi="宋体"/>
                <w:color w:val="000000"/>
                <w:sz w:val="24"/>
              </w:rPr>
              <w:t>8、在录取期间安排技术人员参与录取工作，负责系统维护和现场技术支持。</w:t>
            </w:r>
          </w:p>
          <w:p w14:paraId="1470E56F">
            <w:pPr>
              <w:spacing w:line="360" w:lineRule="auto"/>
              <w:ind w:firstLine="480" w:firstLineChars="200"/>
              <w:rPr>
                <w:rFonts w:hint="eastAsia" w:ascii="宋体" w:hAnsi="宋体"/>
                <w:color w:val="000000"/>
                <w:sz w:val="24"/>
              </w:rPr>
            </w:pPr>
            <w:r>
              <w:rPr>
                <w:rFonts w:hint="eastAsia" w:ascii="宋体" w:hAnsi="宋体"/>
                <w:color w:val="000000"/>
                <w:sz w:val="24"/>
              </w:rPr>
              <w:t>9、录取期间全天24小时监控网络和安全系统运行，根据安全和场地应急预案制定相应的应急预案实施方案。</w:t>
            </w:r>
          </w:p>
          <w:p w14:paraId="70990B0D">
            <w:pPr>
              <w:spacing w:line="360" w:lineRule="auto"/>
              <w:ind w:firstLine="480" w:firstLineChars="200"/>
              <w:rPr>
                <w:rFonts w:hint="eastAsia" w:ascii="宋体" w:hAnsi="宋体" w:eastAsia="宋体" w:cs="宋体"/>
                <w:sz w:val="24"/>
                <w:szCs w:val="24"/>
              </w:rPr>
            </w:pPr>
            <w:r>
              <w:rPr>
                <w:rFonts w:hint="eastAsia" w:ascii="宋体" w:hAnsi="宋体"/>
                <w:color w:val="000000"/>
                <w:sz w:val="24"/>
              </w:rPr>
              <w:t>10、录取现场全体工作人员必须遵守录取工作各项纪律，不得向外泄漏保密信息，更不能利用工作之便为他人提供录取相关信息。否则，承担由此产生的所有法律后果。</w:t>
            </w:r>
          </w:p>
        </w:tc>
      </w:tr>
      <w:tr w14:paraId="63D19E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9" w:type="dxa"/>
          </w:tcPr>
          <w:p w14:paraId="5BBD8E23">
            <w:pPr>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759" w:type="dxa"/>
            <w:vAlign w:val="center"/>
          </w:tcPr>
          <w:p w14:paraId="1B9BCDD8">
            <w:pPr>
              <w:pStyle w:val="4"/>
              <w:keepNext w:val="0"/>
              <w:keepLines w:val="0"/>
              <w:pageBreakBefore w:val="0"/>
              <w:kinsoku/>
              <w:wordWrap/>
              <w:overflowPunct/>
              <w:topLinePunct w:val="0"/>
              <w:autoSpaceDE/>
              <w:autoSpaceDN/>
              <w:bidi w:val="0"/>
              <w:adjustRightInd/>
              <w:snapToGrid/>
              <w:spacing w:line="46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6629" w:type="dxa"/>
            <w:vAlign w:val="center"/>
          </w:tcPr>
          <w:tbl>
            <w:tblPr>
              <w:tblStyle w:val="2"/>
              <w:tblW w:w="4739" w:type="pct"/>
              <w:jc w:val="center"/>
              <w:shd w:val="clear" w:color="auto" w:fill="FFFFFF"/>
              <w:tblLayout w:type="fixed"/>
              <w:tblCellMar>
                <w:top w:w="0" w:type="dxa"/>
                <w:left w:w="0" w:type="dxa"/>
                <w:bottom w:w="0" w:type="dxa"/>
                <w:right w:w="0" w:type="dxa"/>
              </w:tblCellMar>
            </w:tblPr>
            <w:tblGrid>
              <w:gridCol w:w="1758"/>
              <w:gridCol w:w="1230"/>
              <w:gridCol w:w="3090"/>
            </w:tblGrid>
            <w:tr w14:paraId="2D296E64">
              <w:tblPrEx>
                <w:shd w:val="clear" w:color="auto" w:fill="FFFFFF"/>
                <w:tblCellMar>
                  <w:top w:w="0" w:type="dxa"/>
                  <w:left w:w="0" w:type="dxa"/>
                  <w:bottom w:w="0" w:type="dxa"/>
                  <w:right w:w="0" w:type="dxa"/>
                </w:tblCellMar>
              </w:tblPrEx>
              <w:trPr>
                <w:trHeight w:val="549" w:hRule="atLeast"/>
                <w:jc w:val="center"/>
              </w:trPr>
              <w:tc>
                <w:tcPr>
                  <w:tcW w:w="1445" w:type="pct"/>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bottom w:w="0" w:type="dxa"/>
                    <w:right w:w="15" w:type="dxa"/>
                  </w:tcMar>
                  <w:vAlign w:val="center"/>
                </w:tcPr>
                <w:p w14:paraId="05558E3E">
                  <w:pPr>
                    <w:spacing w:line="360" w:lineRule="auto"/>
                    <w:ind w:firstLine="480" w:firstLineChars="200"/>
                    <w:jc w:val="center"/>
                    <w:rPr>
                      <w:rFonts w:hint="eastAsia" w:ascii="宋体" w:hAnsi="宋体"/>
                      <w:color w:val="000000"/>
                      <w:sz w:val="24"/>
                    </w:rPr>
                  </w:pPr>
                  <w:r>
                    <w:rPr>
                      <w:rFonts w:hint="eastAsia" w:ascii="宋体" w:hAnsi="宋体"/>
                      <w:color w:val="000000"/>
                      <w:sz w:val="24"/>
                    </w:rPr>
                    <w:t>项目内容</w:t>
                  </w:r>
                </w:p>
              </w:tc>
              <w:tc>
                <w:tcPr>
                  <w:tcW w:w="1011" w:type="pct"/>
                  <w:tcBorders>
                    <w:top w:val="single" w:color="auto" w:sz="4" w:space="0"/>
                    <w:left w:val="nil"/>
                    <w:bottom w:val="single" w:color="auto" w:sz="4" w:space="0"/>
                    <w:right w:val="single" w:color="auto" w:sz="4" w:space="0"/>
                  </w:tcBorders>
                  <w:shd w:val="clear" w:color="auto" w:fill="FFFFFF"/>
                  <w:noWrap/>
                  <w:tcMar>
                    <w:top w:w="15" w:type="dxa"/>
                    <w:left w:w="15" w:type="dxa"/>
                    <w:bottom w:w="0" w:type="dxa"/>
                    <w:right w:w="15" w:type="dxa"/>
                  </w:tcMar>
                  <w:vAlign w:val="center"/>
                </w:tcPr>
                <w:p w14:paraId="16961438">
                  <w:pPr>
                    <w:spacing w:line="360" w:lineRule="auto"/>
                    <w:jc w:val="center"/>
                    <w:rPr>
                      <w:rFonts w:hint="eastAsia" w:ascii="宋体" w:hAnsi="宋体"/>
                      <w:color w:val="000000"/>
                      <w:sz w:val="24"/>
                    </w:rPr>
                  </w:pPr>
                  <w:r>
                    <w:rPr>
                      <w:rFonts w:hint="eastAsia" w:ascii="宋体" w:hAnsi="宋体"/>
                      <w:color w:val="000000"/>
                      <w:sz w:val="24"/>
                    </w:rPr>
                    <w:t>数量</w:t>
                  </w:r>
                </w:p>
              </w:tc>
              <w:tc>
                <w:tcPr>
                  <w:tcW w:w="2542" w:type="pct"/>
                  <w:tcBorders>
                    <w:top w:val="single" w:color="auto" w:sz="4" w:space="0"/>
                    <w:left w:val="nil"/>
                    <w:bottom w:val="single" w:color="auto" w:sz="4" w:space="0"/>
                    <w:right w:val="single" w:color="auto" w:sz="4" w:space="0"/>
                  </w:tcBorders>
                  <w:shd w:val="clear" w:color="auto" w:fill="FFFFFF"/>
                  <w:noWrap/>
                  <w:tcMar>
                    <w:top w:w="15" w:type="dxa"/>
                    <w:left w:w="15" w:type="dxa"/>
                    <w:bottom w:w="0" w:type="dxa"/>
                    <w:right w:w="15" w:type="dxa"/>
                  </w:tcMar>
                  <w:vAlign w:val="center"/>
                </w:tcPr>
                <w:p w14:paraId="1B93C8C7">
                  <w:pPr>
                    <w:spacing w:line="360" w:lineRule="auto"/>
                    <w:jc w:val="center"/>
                    <w:rPr>
                      <w:rFonts w:ascii="宋体" w:hAnsi="宋体"/>
                      <w:sz w:val="24"/>
                    </w:rPr>
                  </w:pPr>
                  <w:r>
                    <w:rPr>
                      <w:rFonts w:hint="eastAsia" w:ascii="宋体" w:hAnsi="宋体"/>
                      <w:sz w:val="24"/>
                    </w:rPr>
                    <w:t>备注</w:t>
                  </w:r>
                </w:p>
              </w:tc>
            </w:tr>
            <w:tr w14:paraId="7223844D">
              <w:tblPrEx>
                <w:tblCellMar>
                  <w:top w:w="0" w:type="dxa"/>
                  <w:left w:w="0" w:type="dxa"/>
                  <w:bottom w:w="0" w:type="dxa"/>
                  <w:right w:w="0" w:type="dxa"/>
                </w:tblCellMar>
              </w:tblPrEx>
              <w:trPr>
                <w:trHeight w:val="827" w:hRule="atLeast"/>
                <w:jc w:val="center"/>
              </w:trPr>
              <w:tc>
                <w:tcPr>
                  <w:tcW w:w="1445" w:type="pct"/>
                  <w:tcBorders>
                    <w:top w:val="nil"/>
                    <w:left w:val="single" w:color="auto" w:sz="4" w:space="0"/>
                    <w:bottom w:val="single" w:color="auto" w:sz="4" w:space="0"/>
                    <w:right w:val="single" w:color="auto" w:sz="4" w:space="0"/>
                  </w:tcBorders>
                  <w:shd w:val="clear" w:color="auto" w:fill="FFFFFF"/>
                  <w:noWrap/>
                  <w:tcMar>
                    <w:top w:w="15" w:type="dxa"/>
                    <w:left w:w="15" w:type="dxa"/>
                    <w:bottom w:w="0" w:type="dxa"/>
                    <w:right w:w="15" w:type="dxa"/>
                  </w:tcMar>
                  <w:vAlign w:val="center"/>
                </w:tcPr>
                <w:p w14:paraId="2236C73C">
                  <w:pPr>
                    <w:spacing w:line="360" w:lineRule="auto"/>
                    <w:jc w:val="center"/>
                    <w:rPr>
                      <w:rFonts w:hint="eastAsia" w:ascii="宋体" w:hAnsi="宋体"/>
                      <w:color w:val="000000"/>
                      <w:sz w:val="24"/>
                    </w:rPr>
                  </w:pPr>
                  <w:r>
                    <w:rPr>
                      <w:rFonts w:hint="eastAsia" w:ascii="宋体" w:hAnsi="宋体"/>
                      <w:color w:val="000000"/>
                      <w:sz w:val="24"/>
                    </w:rPr>
                    <w:t>计算机</w:t>
                  </w:r>
                </w:p>
              </w:tc>
              <w:tc>
                <w:tcPr>
                  <w:tcW w:w="1011" w:type="pct"/>
                  <w:tcBorders>
                    <w:top w:val="nil"/>
                    <w:left w:val="nil"/>
                    <w:bottom w:val="single" w:color="auto" w:sz="4" w:space="0"/>
                    <w:right w:val="single" w:color="auto" w:sz="4" w:space="0"/>
                  </w:tcBorders>
                  <w:shd w:val="clear" w:color="auto" w:fill="FFFFFF"/>
                  <w:noWrap/>
                  <w:tcMar>
                    <w:top w:w="15" w:type="dxa"/>
                    <w:left w:w="15" w:type="dxa"/>
                    <w:bottom w:w="0" w:type="dxa"/>
                    <w:right w:w="15" w:type="dxa"/>
                  </w:tcMar>
                  <w:vAlign w:val="center"/>
                </w:tcPr>
                <w:p w14:paraId="08AC504E">
                  <w:pPr>
                    <w:spacing w:line="360" w:lineRule="auto"/>
                    <w:jc w:val="center"/>
                    <w:rPr>
                      <w:rFonts w:hint="eastAsia" w:ascii="宋体" w:hAnsi="宋体"/>
                      <w:color w:val="000000"/>
                      <w:sz w:val="24"/>
                    </w:rPr>
                  </w:pPr>
                  <w:r>
                    <w:rPr>
                      <w:rFonts w:hint="eastAsia" w:ascii="宋体" w:hAnsi="宋体"/>
                      <w:color w:val="000000"/>
                      <w:sz w:val="24"/>
                    </w:rPr>
                    <w:t>120台</w:t>
                  </w:r>
                </w:p>
              </w:tc>
              <w:tc>
                <w:tcPr>
                  <w:tcW w:w="2542" w:type="pct"/>
                  <w:vMerge w:val="restart"/>
                  <w:tcBorders>
                    <w:top w:val="nil"/>
                    <w:left w:val="nil"/>
                    <w:right w:val="single" w:color="auto" w:sz="4" w:space="0"/>
                  </w:tcBorders>
                  <w:shd w:val="clear" w:color="auto" w:fill="FFFFFF"/>
                  <w:noWrap/>
                  <w:tcMar>
                    <w:top w:w="15" w:type="dxa"/>
                    <w:left w:w="15" w:type="dxa"/>
                    <w:bottom w:w="0" w:type="dxa"/>
                    <w:right w:w="15" w:type="dxa"/>
                  </w:tcMar>
                  <w:vAlign w:val="center"/>
                </w:tcPr>
                <w:p w14:paraId="2F60F463">
                  <w:pPr>
                    <w:spacing w:line="360" w:lineRule="auto"/>
                    <w:jc w:val="left"/>
                    <w:rPr>
                      <w:rFonts w:ascii="宋体" w:hAnsi="宋体"/>
                      <w:sz w:val="24"/>
                    </w:rPr>
                  </w:pPr>
                  <w:r>
                    <w:rPr>
                      <w:rFonts w:hint="eastAsia" w:ascii="宋体" w:hAnsi="宋体"/>
                      <w:sz w:val="24"/>
                    </w:rPr>
                    <w:t>1、安全系统培训，协助电子档案数据采集与计划信息整理；</w:t>
                  </w:r>
                </w:p>
                <w:p w14:paraId="4D215FA4">
                  <w:pPr>
                    <w:spacing w:line="360" w:lineRule="auto"/>
                    <w:jc w:val="left"/>
                    <w:rPr>
                      <w:rFonts w:ascii="宋体" w:hAnsi="宋体"/>
                      <w:sz w:val="24"/>
                    </w:rPr>
                  </w:pPr>
                  <w:r>
                    <w:rPr>
                      <w:rFonts w:hint="eastAsia" w:ascii="宋体" w:hAnsi="宋体"/>
                      <w:sz w:val="24"/>
                    </w:rPr>
                    <w:t>2、网上录取及安全系统调试、网上录取模拟演练；</w:t>
                  </w:r>
                </w:p>
                <w:p w14:paraId="5B959999">
                  <w:pPr>
                    <w:spacing w:line="360" w:lineRule="auto"/>
                    <w:jc w:val="left"/>
                    <w:rPr>
                      <w:rFonts w:ascii="宋体" w:hAnsi="宋体"/>
                      <w:sz w:val="24"/>
                    </w:rPr>
                  </w:pPr>
                  <w:r>
                    <w:rPr>
                      <w:rFonts w:ascii="宋体" w:hAnsi="宋体"/>
                      <w:sz w:val="24"/>
                    </w:rPr>
                    <w:t>3</w:t>
                  </w:r>
                  <w:r>
                    <w:rPr>
                      <w:rFonts w:hint="eastAsia" w:ascii="宋体" w:hAnsi="宋体"/>
                      <w:sz w:val="24"/>
                    </w:rPr>
                    <w:t>、配合解决录取现场到</w:t>
                  </w:r>
                  <w:r>
                    <w:rPr>
                      <w:rFonts w:hint="eastAsia" w:ascii="宋体" w:hAnsi="宋体"/>
                      <w:sz w:val="24"/>
                      <w:lang w:val="en-US" w:eastAsia="zh-CN"/>
                    </w:rPr>
                    <w:t>西北工业大学</w:t>
                  </w:r>
                  <w:r>
                    <w:rPr>
                      <w:rFonts w:hint="eastAsia" w:ascii="宋体" w:hAnsi="宋体"/>
                      <w:sz w:val="24"/>
                    </w:rPr>
                    <w:t xml:space="preserve">网络节点CERNET链路故障； </w:t>
                  </w:r>
                </w:p>
                <w:p w14:paraId="5B2F1184">
                  <w:pPr>
                    <w:spacing w:line="360" w:lineRule="auto"/>
                    <w:jc w:val="left"/>
                    <w:rPr>
                      <w:rFonts w:ascii="宋体" w:hAnsi="宋体"/>
                      <w:sz w:val="24"/>
                    </w:rPr>
                  </w:pPr>
                  <w:r>
                    <w:rPr>
                      <w:rFonts w:ascii="宋体" w:hAnsi="宋体"/>
                      <w:sz w:val="24"/>
                    </w:rPr>
                    <w:t>4</w:t>
                  </w:r>
                  <w:r>
                    <w:rPr>
                      <w:rFonts w:hint="eastAsia" w:ascii="宋体" w:hAnsi="宋体"/>
                      <w:sz w:val="24"/>
                    </w:rPr>
                    <w:t xml:space="preserve">、录取现场网络布线与电源布线（综合布线）； </w:t>
                  </w:r>
                  <w:r>
                    <w:rPr>
                      <w:rFonts w:hint="eastAsia" w:ascii="宋体" w:hAnsi="宋体"/>
                      <w:sz w:val="24"/>
                    </w:rPr>
                    <w:cr/>
                  </w:r>
                  <w:r>
                    <w:rPr>
                      <w:rFonts w:ascii="宋体" w:hAnsi="宋体"/>
                      <w:sz w:val="24"/>
                    </w:rPr>
                    <w:t>5</w:t>
                  </w:r>
                  <w:r>
                    <w:rPr>
                      <w:rFonts w:hint="eastAsia" w:ascii="宋体" w:hAnsi="宋体"/>
                      <w:sz w:val="24"/>
                    </w:rPr>
                    <w:t>、录取现场计算机与网络设备安装调试；</w:t>
                  </w:r>
                  <w:r>
                    <w:rPr>
                      <w:rFonts w:hint="eastAsia" w:ascii="宋体" w:hAnsi="宋体"/>
                      <w:sz w:val="24"/>
                    </w:rPr>
                    <w:cr/>
                  </w:r>
                  <w:r>
                    <w:rPr>
                      <w:rFonts w:ascii="宋体" w:hAnsi="宋体"/>
                      <w:sz w:val="24"/>
                    </w:rPr>
                    <w:t>6</w:t>
                  </w:r>
                  <w:r>
                    <w:rPr>
                      <w:rFonts w:hint="eastAsia" w:ascii="宋体" w:hAnsi="宋体"/>
                      <w:sz w:val="24"/>
                    </w:rPr>
                    <w:t>、工作人员现场培训；</w:t>
                  </w:r>
                </w:p>
                <w:p w14:paraId="141E79E7">
                  <w:pPr>
                    <w:spacing w:line="360" w:lineRule="auto"/>
                    <w:jc w:val="left"/>
                    <w:rPr>
                      <w:rFonts w:ascii="宋体" w:hAnsi="宋体"/>
                      <w:sz w:val="24"/>
                    </w:rPr>
                  </w:pPr>
                  <w:r>
                    <w:rPr>
                      <w:rFonts w:ascii="宋体" w:hAnsi="宋体"/>
                      <w:sz w:val="24"/>
                    </w:rPr>
                    <w:t>7</w:t>
                  </w:r>
                  <w:r>
                    <w:rPr>
                      <w:rFonts w:hint="eastAsia" w:ascii="宋体" w:hAnsi="宋体"/>
                      <w:sz w:val="24"/>
                    </w:rPr>
                    <w:t>、网上录取现场技术支持。</w:t>
                  </w:r>
                </w:p>
              </w:tc>
            </w:tr>
            <w:tr w14:paraId="18AAE59D">
              <w:tblPrEx>
                <w:shd w:val="clear" w:color="auto" w:fill="FFFFFF"/>
                <w:tblCellMar>
                  <w:top w:w="0" w:type="dxa"/>
                  <w:left w:w="0" w:type="dxa"/>
                  <w:bottom w:w="0" w:type="dxa"/>
                  <w:right w:w="0" w:type="dxa"/>
                </w:tblCellMar>
              </w:tblPrEx>
              <w:trPr>
                <w:trHeight w:val="489" w:hRule="atLeast"/>
                <w:jc w:val="center"/>
              </w:trPr>
              <w:tc>
                <w:tcPr>
                  <w:tcW w:w="1445" w:type="pct"/>
                  <w:tcBorders>
                    <w:top w:val="nil"/>
                    <w:left w:val="single" w:color="auto" w:sz="4" w:space="0"/>
                    <w:bottom w:val="single" w:color="auto" w:sz="4" w:space="0"/>
                    <w:right w:val="single" w:color="auto" w:sz="4" w:space="0"/>
                  </w:tcBorders>
                  <w:shd w:val="clear" w:color="auto" w:fill="FFFFFF"/>
                  <w:noWrap/>
                  <w:tcMar>
                    <w:top w:w="15" w:type="dxa"/>
                    <w:left w:w="15" w:type="dxa"/>
                    <w:bottom w:w="0" w:type="dxa"/>
                    <w:right w:w="15" w:type="dxa"/>
                  </w:tcMar>
                  <w:vAlign w:val="center"/>
                </w:tcPr>
                <w:p w14:paraId="31E0E31F">
                  <w:pPr>
                    <w:spacing w:line="360" w:lineRule="auto"/>
                    <w:jc w:val="center"/>
                    <w:rPr>
                      <w:rFonts w:hint="eastAsia" w:ascii="宋体" w:hAnsi="宋体"/>
                      <w:color w:val="000000"/>
                      <w:sz w:val="24"/>
                    </w:rPr>
                  </w:pPr>
                  <w:r>
                    <w:rPr>
                      <w:rFonts w:hint="eastAsia" w:ascii="宋体" w:hAnsi="宋体"/>
                      <w:color w:val="000000"/>
                      <w:sz w:val="24"/>
                    </w:rPr>
                    <w:t>交换机</w:t>
                  </w:r>
                </w:p>
              </w:tc>
              <w:tc>
                <w:tcPr>
                  <w:tcW w:w="1011" w:type="pct"/>
                  <w:tcBorders>
                    <w:top w:val="nil"/>
                    <w:left w:val="nil"/>
                    <w:bottom w:val="single" w:color="auto" w:sz="4" w:space="0"/>
                    <w:right w:val="single" w:color="auto" w:sz="4" w:space="0"/>
                  </w:tcBorders>
                  <w:shd w:val="clear" w:color="auto" w:fill="FFFFFF"/>
                  <w:noWrap/>
                  <w:tcMar>
                    <w:top w:w="15" w:type="dxa"/>
                    <w:left w:w="15" w:type="dxa"/>
                    <w:bottom w:w="0" w:type="dxa"/>
                    <w:right w:w="15" w:type="dxa"/>
                  </w:tcMar>
                  <w:vAlign w:val="center"/>
                </w:tcPr>
                <w:p w14:paraId="33C0CBB0">
                  <w:pPr>
                    <w:spacing w:line="360" w:lineRule="auto"/>
                    <w:jc w:val="center"/>
                    <w:rPr>
                      <w:rFonts w:hint="eastAsia" w:ascii="宋体" w:hAnsi="宋体"/>
                      <w:color w:val="000000"/>
                      <w:sz w:val="24"/>
                    </w:rPr>
                  </w:pPr>
                  <w:r>
                    <w:rPr>
                      <w:rFonts w:hint="eastAsia" w:ascii="宋体" w:hAnsi="宋体"/>
                      <w:color w:val="000000"/>
                      <w:sz w:val="24"/>
                    </w:rPr>
                    <w:t>30台</w:t>
                  </w:r>
                </w:p>
              </w:tc>
              <w:tc>
                <w:tcPr>
                  <w:tcW w:w="2542" w:type="pct"/>
                  <w:vMerge w:val="continue"/>
                  <w:tcBorders>
                    <w:left w:val="nil"/>
                    <w:right w:val="single" w:color="auto" w:sz="4" w:space="0"/>
                  </w:tcBorders>
                  <w:shd w:val="clear" w:color="auto" w:fill="FFFFFF"/>
                  <w:noWrap/>
                  <w:tcMar>
                    <w:top w:w="15" w:type="dxa"/>
                    <w:left w:w="15" w:type="dxa"/>
                    <w:bottom w:w="0" w:type="dxa"/>
                    <w:right w:w="15" w:type="dxa"/>
                  </w:tcMar>
                  <w:vAlign w:val="center"/>
                </w:tcPr>
                <w:p w14:paraId="0038BC6D">
                  <w:pPr>
                    <w:spacing w:line="360" w:lineRule="auto"/>
                    <w:rPr>
                      <w:rFonts w:ascii="宋体" w:hAnsi="宋体"/>
                      <w:sz w:val="24"/>
                    </w:rPr>
                  </w:pPr>
                </w:p>
              </w:tc>
            </w:tr>
            <w:tr w14:paraId="4473126C">
              <w:tblPrEx>
                <w:shd w:val="clear" w:color="auto" w:fill="FFFFFF"/>
                <w:tblCellMar>
                  <w:top w:w="0" w:type="dxa"/>
                  <w:left w:w="0" w:type="dxa"/>
                  <w:bottom w:w="0" w:type="dxa"/>
                  <w:right w:w="0" w:type="dxa"/>
                </w:tblCellMar>
              </w:tblPrEx>
              <w:trPr>
                <w:trHeight w:val="489" w:hRule="atLeast"/>
                <w:jc w:val="center"/>
              </w:trPr>
              <w:tc>
                <w:tcPr>
                  <w:tcW w:w="1445" w:type="pct"/>
                  <w:tcBorders>
                    <w:top w:val="nil"/>
                    <w:left w:val="single" w:color="auto" w:sz="4" w:space="0"/>
                    <w:bottom w:val="single" w:color="auto" w:sz="4" w:space="0"/>
                    <w:right w:val="single" w:color="auto" w:sz="4" w:space="0"/>
                  </w:tcBorders>
                  <w:shd w:val="clear" w:color="auto" w:fill="FFFFFF"/>
                  <w:noWrap/>
                  <w:tcMar>
                    <w:top w:w="15" w:type="dxa"/>
                    <w:left w:w="15" w:type="dxa"/>
                    <w:bottom w:w="0" w:type="dxa"/>
                    <w:right w:w="15" w:type="dxa"/>
                  </w:tcMar>
                  <w:vAlign w:val="center"/>
                </w:tcPr>
                <w:p w14:paraId="674B655D">
                  <w:pPr>
                    <w:spacing w:line="360" w:lineRule="auto"/>
                    <w:jc w:val="center"/>
                    <w:rPr>
                      <w:rFonts w:hint="eastAsia" w:ascii="宋体" w:hAnsi="宋体"/>
                      <w:color w:val="000000"/>
                      <w:sz w:val="24"/>
                    </w:rPr>
                  </w:pPr>
                  <w:r>
                    <w:rPr>
                      <w:rFonts w:hint="eastAsia" w:ascii="宋体" w:hAnsi="宋体"/>
                      <w:color w:val="000000"/>
                      <w:sz w:val="24"/>
                    </w:rPr>
                    <w:t>服务器</w:t>
                  </w:r>
                </w:p>
              </w:tc>
              <w:tc>
                <w:tcPr>
                  <w:tcW w:w="1011" w:type="pct"/>
                  <w:tcBorders>
                    <w:top w:val="nil"/>
                    <w:left w:val="nil"/>
                    <w:bottom w:val="single" w:color="auto" w:sz="4" w:space="0"/>
                    <w:right w:val="single" w:color="auto" w:sz="4" w:space="0"/>
                  </w:tcBorders>
                  <w:shd w:val="clear" w:color="auto" w:fill="FFFFFF"/>
                  <w:noWrap/>
                  <w:tcMar>
                    <w:top w:w="15" w:type="dxa"/>
                    <w:left w:w="15" w:type="dxa"/>
                    <w:bottom w:w="0" w:type="dxa"/>
                    <w:right w:w="15" w:type="dxa"/>
                  </w:tcMar>
                  <w:vAlign w:val="center"/>
                </w:tcPr>
                <w:p w14:paraId="2DB7190F">
                  <w:pPr>
                    <w:spacing w:line="360" w:lineRule="auto"/>
                    <w:jc w:val="center"/>
                    <w:rPr>
                      <w:rFonts w:hint="eastAsia" w:ascii="宋体" w:hAnsi="宋体"/>
                      <w:color w:val="000000"/>
                      <w:sz w:val="24"/>
                    </w:rPr>
                  </w:pPr>
                  <w:r>
                    <w:rPr>
                      <w:rFonts w:hint="eastAsia" w:ascii="宋体" w:hAnsi="宋体"/>
                      <w:color w:val="000000"/>
                      <w:sz w:val="24"/>
                    </w:rPr>
                    <w:t>8台</w:t>
                  </w:r>
                </w:p>
              </w:tc>
              <w:tc>
                <w:tcPr>
                  <w:tcW w:w="2542" w:type="pct"/>
                  <w:vMerge w:val="continue"/>
                  <w:tcBorders>
                    <w:left w:val="nil"/>
                    <w:right w:val="single" w:color="auto" w:sz="4" w:space="0"/>
                  </w:tcBorders>
                  <w:shd w:val="clear" w:color="auto" w:fill="FFFFFF"/>
                  <w:noWrap/>
                  <w:tcMar>
                    <w:top w:w="15" w:type="dxa"/>
                    <w:left w:w="15" w:type="dxa"/>
                    <w:bottom w:w="0" w:type="dxa"/>
                    <w:right w:w="15" w:type="dxa"/>
                  </w:tcMar>
                  <w:vAlign w:val="center"/>
                </w:tcPr>
                <w:p w14:paraId="478CA017">
                  <w:pPr>
                    <w:spacing w:line="360" w:lineRule="auto"/>
                    <w:rPr>
                      <w:rFonts w:hint="eastAsia" w:ascii="宋体" w:hAnsi="宋体"/>
                      <w:sz w:val="24"/>
                    </w:rPr>
                  </w:pPr>
                </w:p>
              </w:tc>
            </w:tr>
            <w:tr w14:paraId="067A47F8">
              <w:tblPrEx>
                <w:shd w:val="clear" w:color="auto" w:fill="FFFFFF"/>
                <w:tblCellMar>
                  <w:top w:w="0" w:type="dxa"/>
                  <w:left w:w="0" w:type="dxa"/>
                  <w:bottom w:w="0" w:type="dxa"/>
                  <w:right w:w="0" w:type="dxa"/>
                </w:tblCellMar>
              </w:tblPrEx>
              <w:trPr>
                <w:trHeight w:val="489" w:hRule="atLeast"/>
                <w:jc w:val="center"/>
              </w:trPr>
              <w:tc>
                <w:tcPr>
                  <w:tcW w:w="1445" w:type="pct"/>
                  <w:tcBorders>
                    <w:top w:val="nil"/>
                    <w:left w:val="single" w:color="auto" w:sz="4" w:space="0"/>
                    <w:bottom w:val="single" w:color="auto" w:sz="4" w:space="0"/>
                    <w:right w:val="single" w:color="auto" w:sz="4" w:space="0"/>
                  </w:tcBorders>
                  <w:shd w:val="clear" w:color="auto" w:fill="FFFFFF"/>
                  <w:noWrap/>
                  <w:tcMar>
                    <w:top w:w="15" w:type="dxa"/>
                    <w:left w:w="15" w:type="dxa"/>
                    <w:bottom w:w="0" w:type="dxa"/>
                    <w:right w:w="15" w:type="dxa"/>
                  </w:tcMar>
                  <w:vAlign w:val="center"/>
                </w:tcPr>
                <w:p w14:paraId="46E32A0E">
                  <w:pPr>
                    <w:spacing w:line="360" w:lineRule="auto"/>
                    <w:jc w:val="center"/>
                    <w:rPr>
                      <w:rFonts w:hint="eastAsia" w:ascii="宋体" w:hAnsi="宋体"/>
                      <w:color w:val="000000"/>
                      <w:sz w:val="24"/>
                    </w:rPr>
                  </w:pPr>
                  <w:r>
                    <w:rPr>
                      <w:rFonts w:hint="eastAsia" w:ascii="宋体" w:hAnsi="宋体"/>
                      <w:color w:val="000000"/>
                      <w:sz w:val="24"/>
                    </w:rPr>
                    <w:t>高速行打打印机</w:t>
                  </w:r>
                </w:p>
              </w:tc>
              <w:tc>
                <w:tcPr>
                  <w:tcW w:w="1011" w:type="pct"/>
                  <w:tcBorders>
                    <w:top w:val="nil"/>
                    <w:left w:val="nil"/>
                    <w:bottom w:val="single" w:color="auto" w:sz="4" w:space="0"/>
                    <w:right w:val="single" w:color="auto" w:sz="4" w:space="0"/>
                  </w:tcBorders>
                  <w:shd w:val="clear" w:color="auto" w:fill="FFFFFF"/>
                  <w:noWrap/>
                  <w:tcMar>
                    <w:top w:w="15" w:type="dxa"/>
                    <w:left w:w="15" w:type="dxa"/>
                    <w:bottom w:w="0" w:type="dxa"/>
                    <w:right w:w="15" w:type="dxa"/>
                  </w:tcMar>
                  <w:vAlign w:val="center"/>
                </w:tcPr>
                <w:p w14:paraId="10625BE0">
                  <w:pPr>
                    <w:spacing w:line="360" w:lineRule="auto"/>
                    <w:jc w:val="center"/>
                    <w:rPr>
                      <w:rFonts w:hint="eastAsia" w:ascii="宋体" w:hAnsi="宋体"/>
                      <w:color w:val="000000"/>
                      <w:sz w:val="24"/>
                    </w:rPr>
                  </w:pPr>
                  <w:r>
                    <w:rPr>
                      <w:rFonts w:hint="eastAsia" w:ascii="宋体" w:hAnsi="宋体"/>
                      <w:color w:val="000000"/>
                      <w:sz w:val="24"/>
                    </w:rPr>
                    <w:t>2台</w:t>
                  </w:r>
                </w:p>
              </w:tc>
              <w:tc>
                <w:tcPr>
                  <w:tcW w:w="2542" w:type="pct"/>
                  <w:vMerge w:val="continue"/>
                  <w:tcBorders>
                    <w:left w:val="nil"/>
                    <w:right w:val="single" w:color="auto" w:sz="4" w:space="0"/>
                  </w:tcBorders>
                  <w:shd w:val="clear" w:color="auto" w:fill="FFFFFF"/>
                  <w:noWrap/>
                  <w:tcMar>
                    <w:top w:w="15" w:type="dxa"/>
                    <w:left w:w="15" w:type="dxa"/>
                    <w:bottom w:w="0" w:type="dxa"/>
                    <w:right w:w="15" w:type="dxa"/>
                  </w:tcMar>
                  <w:vAlign w:val="center"/>
                </w:tcPr>
                <w:p w14:paraId="35E6F282">
                  <w:pPr>
                    <w:spacing w:line="360" w:lineRule="auto"/>
                    <w:rPr>
                      <w:rFonts w:ascii="宋体" w:hAnsi="宋体"/>
                      <w:sz w:val="24"/>
                    </w:rPr>
                  </w:pPr>
                </w:p>
              </w:tc>
            </w:tr>
            <w:tr w14:paraId="0452E097">
              <w:tblPrEx>
                <w:shd w:val="clear" w:color="auto" w:fill="FFFFFF"/>
                <w:tblCellMar>
                  <w:top w:w="0" w:type="dxa"/>
                  <w:left w:w="0" w:type="dxa"/>
                  <w:bottom w:w="0" w:type="dxa"/>
                  <w:right w:w="0" w:type="dxa"/>
                </w:tblCellMar>
              </w:tblPrEx>
              <w:trPr>
                <w:trHeight w:val="489" w:hRule="atLeast"/>
                <w:jc w:val="center"/>
              </w:trPr>
              <w:tc>
                <w:tcPr>
                  <w:tcW w:w="1445" w:type="pct"/>
                  <w:tcBorders>
                    <w:top w:val="nil"/>
                    <w:left w:val="single" w:color="auto" w:sz="4" w:space="0"/>
                    <w:bottom w:val="single" w:color="auto" w:sz="4" w:space="0"/>
                    <w:right w:val="single" w:color="auto" w:sz="4" w:space="0"/>
                  </w:tcBorders>
                  <w:shd w:val="clear" w:color="auto" w:fill="FFFFFF"/>
                  <w:noWrap w:val="0"/>
                  <w:tcMar>
                    <w:top w:w="15" w:type="dxa"/>
                    <w:left w:w="15" w:type="dxa"/>
                    <w:bottom w:w="0" w:type="dxa"/>
                    <w:right w:w="15" w:type="dxa"/>
                  </w:tcMar>
                  <w:vAlign w:val="center"/>
                </w:tcPr>
                <w:p w14:paraId="170787BA">
                  <w:pPr>
                    <w:spacing w:line="360" w:lineRule="auto"/>
                    <w:jc w:val="center"/>
                    <w:rPr>
                      <w:rFonts w:hint="eastAsia" w:ascii="宋体" w:hAnsi="宋体"/>
                      <w:color w:val="000000"/>
                      <w:sz w:val="24"/>
                    </w:rPr>
                  </w:pPr>
                  <w:r>
                    <w:rPr>
                      <w:rFonts w:hint="eastAsia" w:ascii="宋体" w:hAnsi="宋体"/>
                      <w:color w:val="000000"/>
                      <w:sz w:val="24"/>
                    </w:rPr>
                    <w:t>计算机辅助设备</w:t>
                  </w:r>
                </w:p>
              </w:tc>
              <w:tc>
                <w:tcPr>
                  <w:tcW w:w="1011" w:type="pct"/>
                  <w:tcBorders>
                    <w:top w:val="nil"/>
                    <w:left w:val="nil"/>
                    <w:bottom w:val="single" w:color="auto" w:sz="4" w:space="0"/>
                    <w:right w:val="single" w:color="auto" w:sz="4" w:space="0"/>
                  </w:tcBorders>
                  <w:shd w:val="clear" w:color="auto" w:fill="FFFFFF"/>
                  <w:noWrap w:val="0"/>
                  <w:tcMar>
                    <w:top w:w="15" w:type="dxa"/>
                    <w:left w:w="15" w:type="dxa"/>
                    <w:bottom w:w="0" w:type="dxa"/>
                    <w:right w:w="15" w:type="dxa"/>
                  </w:tcMar>
                  <w:vAlign w:val="center"/>
                </w:tcPr>
                <w:p w14:paraId="6D6BC35B">
                  <w:pPr>
                    <w:spacing w:line="360" w:lineRule="auto"/>
                    <w:jc w:val="center"/>
                    <w:rPr>
                      <w:rFonts w:hint="default" w:ascii="宋体" w:hAnsi="宋体" w:eastAsia="宋体"/>
                      <w:color w:val="000000"/>
                      <w:sz w:val="24"/>
                      <w:lang w:val="en-US" w:eastAsia="zh-CN"/>
                    </w:rPr>
                  </w:pPr>
                  <w:r>
                    <w:rPr>
                      <w:rFonts w:hint="eastAsia" w:ascii="宋体" w:hAnsi="宋体"/>
                      <w:color w:val="000000"/>
                      <w:sz w:val="24"/>
                      <w:lang w:val="en-US" w:eastAsia="zh-CN"/>
                    </w:rPr>
                    <w:t>1批</w:t>
                  </w:r>
                </w:p>
              </w:tc>
              <w:tc>
                <w:tcPr>
                  <w:tcW w:w="2542" w:type="pct"/>
                  <w:vMerge w:val="continue"/>
                  <w:tcBorders>
                    <w:left w:val="nil"/>
                    <w:right w:val="single" w:color="auto" w:sz="4" w:space="0"/>
                  </w:tcBorders>
                  <w:shd w:val="clear" w:color="auto" w:fill="FFFFFF"/>
                  <w:noWrap/>
                  <w:tcMar>
                    <w:top w:w="15" w:type="dxa"/>
                    <w:left w:w="15" w:type="dxa"/>
                    <w:bottom w:w="0" w:type="dxa"/>
                    <w:right w:w="15" w:type="dxa"/>
                  </w:tcMar>
                  <w:vAlign w:val="center"/>
                </w:tcPr>
                <w:p w14:paraId="125B2D22">
                  <w:pPr>
                    <w:spacing w:line="360" w:lineRule="auto"/>
                    <w:rPr>
                      <w:rFonts w:ascii="宋体" w:hAnsi="宋体"/>
                      <w:sz w:val="24"/>
                    </w:rPr>
                  </w:pPr>
                </w:p>
              </w:tc>
            </w:tr>
            <w:tr w14:paraId="50F70805">
              <w:tblPrEx>
                <w:shd w:val="clear" w:color="auto" w:fill="FFFFFF"/>
                <w:tblCellMar>
                  <w:top w:w="0" w:type="dxa"/>
                  <w:left w:w="0" w:type="dxa"/>
                  <w:bottom w:w="0" w:type="dxa"/>
                  <w:right w:w="0" w:type="dxa"/>
                </w:tblCellMar>
              </w:tblPrEx>
              <w:trPr>
                <w:trHeight w:val="489" w:hRule="atLeast"/>
                <w:jc w:val="center"/>
              </w:trPr>
              <w:tc>
                <w:tcPr>
                  <w:tcW w:w="1445" w:type="pct"/>
                  <w:tcBorders>
                    <w:top w:val="nil"/>
                    <w:left w:val="single" w:color="auto" w:sz="4" w:space="0"/>
                    <w:bottom w:val="single" w:color="auto" w:sz="4" w:space="0"/>
                    <w:right w:val="single" w:color="auto" w:sz="4" w:space="0"/>
                  </w:tcBorders>
                  <w:shd w:val="clear" w:color="auto" w:fill="FFFFFF"/>
                  <w:noWrap w:val="0"/>
                  <w:tcMar>
                    <w:top w:w="15" w:type="dxa"/>
                    <w:left w:w="15" w:type="dxa"/>
                    <w:bottom w:w="0" w:type="dxa"/>
                    <w:right w:w="15" w:type="dxa"/>
                  </w:tcMar>
                  <w:vAlign w:val="center"/>
                </w:tcPr>
                <w:p w14:paraId="4F77FB76">
                  <w:pPr>
                    <w:spacing w:line="360" w:lineRule="auto"/>
                    <w:jc w:val="center"/>
                    <w:rPr>
                      <w:rFonts w:hint="eastAsia" w:ascii="宋体" w:hAnsi="宋体"/>
                      <w:color w:val="000000"/>
                      <w:sz w:val="24"/>
                    </w:rPr>
                  </w:pPr>
                  <w:r>
                    <w:rPr>
                      <w:rFonts w:hint="eastAsia" w:ascii="宋体" w:hAnsi="宋体"/>
                      <w:color w:val="000000"/>
                      <w:sz w:val="24"/>
                    </w:rPr>
                    <w:t>网络布线工程</w:t>
                  </w:r>
                </w:p>
              </w:tc>
              <w:tc>
                <w:tcPr>
                  <w:tcW w:w="1011" w:type="pct"/>
                  <w:tcBorders>
                    <w:top w:val="nil"/>
                    <w:left w:val="nil"/>
                    <w:bottom w:val="single" w:color="auto" w:sz="4" w:space="0"/>
                    <w:right w:val="single" w:color="auto" w:sz="4" w:space="0"/>
                  </w:tcBorders>
                  <w:shd w:val="clear" w:color="auto" w:fill="FFFFFF"/>
                  <w:noWrap w:val="0"/>
                  <w:tcMar>
                    <w:top w:w="15" w:type="dxa"/>
                    <w:left w:w="15" w:type="dxa"/>
                    <w:bottom w:w="0" w:type="dxa"/>
                    <w:right w:w="15" w:type="dxa"/>
                  </w:tcMar>
                  <w:vAlign w:val="center"/>
                </w:tcPr>
                <w:p w14:paraId="2792DD92">
                  <w:pPr>
                    <w:spacing w:line="360" w:lineRule="auto"/>
                    <w:jc w:val="center"/>
                    <w:rPr>
                      <w:rFonts w:hint="eastAsia" w:ascii="宋体" w:hAnsi="宋体"/>
                      <w:color w:val="000000"/>
                      <w:sz w:val="24"/>
                    </w:rPr>
                  </w:pPr>
                  <w:r>
                    <w:rPr>
                      <w:rFonts w:hint="eastAsia" w:ascii="宋体" w:hAnsi="宋体"/>
                      <w:color w:val="000000"/>
                      <w:sz w:val="24"/>
                    </w:rPr>
                    <w:t>120点</w:t>
                  </w:r>
                </w:p>
              </w:tc>
              <w:tc>
                <w:tcPr>
                  <w:tcW w:w="2542" w:type="pct"/>
                  <w:vMerge w:val="continue"/>
                  <w:tcBorders>
                    <w:left w:val="nil"/>
                    <w:right w:val="single" w:color="auto" w:sz="4" w:space="0"/>
                  </w:tcBorders>
                  <w:shd w:val="clear" w:color="auto" w:fill="FFFFFF"/>
                  <w:noWrap/>
                  <w:tcMar>
                    <w:top w:w="15" w:type="dxa"/>
                    <w:left w:w="15" w:type="dxa"/>
                    <w:bottom w:w="0" w:type="dxa"/>
                    <w:right w:w="15" w:type="dxa"/>
                  </w:tcMar>
                  <w:vAlign w:val="center"/>
                </w:tcPr>
                <w:p w14:paraId="07D04114">
                  <w:pPr>
                    <w:spacing w:line="360" w:lineRule="auto"/>
                    <w:rPr>
                      <w:rFonts w:ascii="宋体" w:hAnsi="宋体"/>
                      <w:sz w:val="24"/>
                    </w:rPr>
                  </w:pPr>
                </w:p>
              </w:tc>
            </w:tr>
            <w:tr w14:paraId="25E20386">
              <w:tblPrEx>
                <w:shd w:val="clear" w:color="auto" w:fill="FFFFFF"/>
                <w:tblCellMar>
                  <w:top w:w="0" w:type="dxa"/>
                  <w:left w:w="0" w:type="dxa"/>
                  <w:bottom w:w="0" w:type="dxa"/>
                  <w:right w:w="0" w:type="dxa"/>
                </w:tblCellMar>
              </w:tblPrEx>
              <w:trPr>
                <w:trHeight w:val="489" w:hRule="atLeast"/>
                <w:jc w:val="center"/>
              </w:trPr>
              <w:tc>
                <w:tcPr>
                  <w:tcW w:w="1445" w:type="pct"/>
                  <w:tcBorders>
                    <w:top w:val="nil"/>
                    <w:left w:val="single" w:color="auto" w:sz="4" w:space="0"/>
                    <w:bottom w:val="single" w:color="auto" w:sz="4" w:space="0"/>
                    <w:right w:val="single" w:color="auto" w:sz="4" w:space="0"/>
                  </w:tcBorders>
                  <w:shd w:val="clear" w:color="auto" w:fill="FFFFFF"/>
                  <w:noWrap w:val="0"/>
                  <w:tcMar>
                    <w:top w:w="15" w:type="dxa"/>
                    <w:left w:w="15" w:type="dxa"/>
                    <w:bottom w:w="0" w:type="dxa"/>
                    <w:right w:w="15" w:type="dxa"/>
                  </w:tcMar>
                  <w:vAlign w:val="center"/>
                </w:tcPr>
                <w:p w14:paraId="28237319">
                  <w:pPr>
                    <w:spacing w:line="360" w:lineRule="auto"/>
                    <w:jc w:val="center"/>
                    <w:rPr>
                      <w:rFonts w:hint="eastAsia" w:ascii="宋体" w:hAnsi="宋体"/>
                      <w:color w:val="000000"/>
                      <w:sz w:val="24"/>
                    </w:rPr>
                  </w:pPr>
                  <w:r>
                    <w:rPr>
                      <w:rFonts w:hint="eastAsia" w:ascii="宋体" w:hAnsi="宋体"/>
                      <w:color w:val="000000"/>
                      <w:sz w:val="24"/>
                    </w:rPr>
                    <w:t>现场支持</w:t>
                  </w:r>
                </w:p>
              </w:tc>
              <w:tc>
                <w:tcPr>
                  <w:tcW w:w="1011" w:type="pct"/>
                  <w:tcBorders>
                    <w:top w:val="nil"/>
                    <w:left w:val="nil"/>
                    <w:bottom w:val="single" w:color="auto" w:sz="4" w:space="0"/>
                    <w:right w:val="single" w:color="auto" w:sz="4" w:space="0"/>
                  </w:tcBorders>
                  <w:shd w:val="clear" w:color="auto" w:fill="FFFFFF"/>
                  <w:noWrap w:val="0"/>
                  <w:tcMar>
                    <w:top w:w="15" w:type="dxa"/>
                    <w:left w:w="15" w:type="dxa"/>
                    <w:bottom w:w="0" w:type="dxa"/>
                    <w:right w:w="15" w:type="dxa"/>
                  </w:tcMar>
                  <w:vAlign w:val="center"/>
                </w:tcPr>
                <w:p w14:paraId="58C2B192">
                  <w:pPr>
                    <w:spacing w:line="360" w:lineRule="auto"/>
                    <w:jc w:val="center"/>
                    <w:rPr>
                      <w:rFonts w:hint="eastAsia" w:ascii="宋体" w:hAnsi="宋体"/>
                      <w:color w:val="000000"/>
                      <w:sz w:val="24"/>
                    </w:rPr>
                  </w:pPr>
                  <w:r>
                    <w:rPr>
                      <w:rFonts w:hint="eastAsia" w:ascii="宋体" w:hAnsi="宋体"/>
                      <w:color w:val="000000"/>
                      <w:sz w:val="24"/>
                    </w:rPr>
                    <w:t>8人</w:t>
                  </w:r>
                </w:p>
              </w:tc>
              <w:tc>
                <w:tcPr>
                  <w:tcW w:w="2542" w:type="pct"/>
                  <w:vMerge w:val="continue"/>
                  <w:tcBorders>
                    <w:left w:val="nil"/>
                    <w:bottom w:val="single" w:color="auto" w:sz="4" w:space="0"/>
                    <w:right w:val="single" w:color="auto" w:sz="4" w:space="0"/>
                  </w:tcBorders>
                  <w:shd w:val="clear" w:color="auto" w:fill="FFFFFF"/>
                  <w:noWrap/>
                  <w:tcMar>
                    <w:top w:w="15" w:type="dxa"/>
                    <w:left w:w="15" w:type="dxa"/>
                    <w:bottom w:w="0" w:type="dxa"/>
                    <w:right w:w="15" w:type="dxa"/>
                  </w:tcMar>
                  <w:vAlign w:val="center"/>
                </w:tcPr>
                <w:p w14:paraId="138ACEA0">
                  <w:pPr>
                    <w:spacing w:line="360" w:lineRule="auto"/>
                    <w:rPr>
                      <w:rFonts w:ascii="宋体" w:hAnsi="宋体"/>
                      <w:sz w:val="24"/>
                    </w:rPr>
                  </w:pPr>
                </w:p>
              </w:tc>
            </w:tr>
          </w:tbl>
          <w:p w14:paraId="0BA05D5F">
            <w:pPr>
              <w:pStyle w:val="4"/>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r>
    </w:tbl>
    <w:p w14:paraId="3B1632C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EC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2025-05-08T08:07:41Z</dcterms:created>
  <dc:creator>PC</dc:creator>
  <cp:lastModifiedBy>白日梦</cp:lastModifiedBy>
  <dcterms:modified xsi:type="dcterms:W3CDTF">2025-05-08T08:07:43Z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eyJoZGlkIjoiOTQyNjJhYWQ1Y2ZkMWY1OTgyN2E4ZDZkNGNkNDQwMjYiLCJ1c2VySWQiOiIzMTI3MDEwNzEifQ==</vt:lpwstr>
  </property>
  <property fmtid="{D5CDD505-2E9C-101B-9397-08002B2CF9AE}" pid="4" name="ICV">
    <vt:lpwstr>261D7B8D9089401793DC8D7DC778E99C_12</vt:lpwstr>
  </property>
</Properties>
</file>