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版本号：BC-2025-042120250506001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2025年度图书馆中文纸质图书采购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BC-2025-0421</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佰晨项目管理有限公司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佰晨项目管理有限公司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2025年度图书馆中文纸质图书采购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BC-2025-0421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2025年度图书馆中文纸质图书采购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人文社科类图书、自然科学类及综合类图书购置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提供经审计的2023年度或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10、本项目不接受联合体投标：投标人自行提供《非联合体投标声明》；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提供经审计的2023年度或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10、本项目不接受联合体投标：投标人自行提供《非联合体投标声明》；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提供经审计的2023年度或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10、本项目不接受联合体投标：投标人自行提供《非联合体投标声明》；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佰晨项目管理有限公司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西安市西咸新区沣东新城文宣一路中兴深蓝科技产业园三期3号楼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18165305497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p>
          <w:p>
            <w:pPr>
              <w:pStyle w:val="null3"/>
            </w:pPr>
            <w:r>
              <w:rPr>
                <w:rFonts w:ascii="仿宋_GB2312" w:hAnsi="仿宋_GB2312" w:cs="仿宋_GB2312" w:eastAsia="仿宋_GB2312"/>
              </w:rPr>
              <w:t>采购包2：340,000.00元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和国家发展和改革委员会办公厅颁发的《关于采购代理服务收费有关问题的通知》（发改办价格〔2003〕857号）的有关规定标准计取，不足5000元，按5000元收取。 供应商将招标代理服务费计入投标报价但不单独列明，中标单位在领取中标通知书前，须向采购代理机构一次性支付招标代理服务费；代理服务费以转账、电汇或现金等形式交纳。 代理费缴纳账号信息： 公司名称：佰晨项目管理有限公司 开户行：交通银行股份有限公司西安兴庆南路支行账号：611301035013002065318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佰晨项目管理有限公司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佰晨项目管理有限公司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佰晨项目管理有限公司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联系电话：18165305497</w:t>
      </w:r>
    </w:p>
    <w:p>
      <w:pPr>
        <w:pStyle w:val="null3"/>
      </w:pPr>
      <w:r>
        <w:rPr>
          <w:rFonts w:ascii="仿宋_GB2312" w:hAnsi="仿宋_GB2312" w:cs="仿宋_GB2312" w:eastAsia="仿宋_GB2312"/>
        </w:rPr>
        <w:t>地址：陕西省西安市雁塔区西安市科技二路启迪清扬时代D座10楼21001室（或发送至本邮箱，以到达时间为准Baichenxiangmu@163.com ）</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本次招标内容为采购2023年1月之后出版发行的正版纸质图书。图书类目为符合我校学科专业的人文社科类、自然科学类图书及综合类图书等共计约2万册。项目分3个合同包，每个合同包拟招供应商1家。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人文社科类图书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标的名称：人文社科类图书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rPr>
              <w:t>采购内容及范围：采购2023年1月之后出版发行的正版纸质图书。图书类目为符合我校学科专业的人文社科类、自然科学类图书及综合类图书等共计约2万册。项目分3个合同包，每个合同包拟招供应商1家。</w:t>
            </w:r>
          </w:p>
          <w:p>
            <w:pPr>
              <w:pStyle w:val="null3"/>
            </w:pPr>
            <w:r>
              <w:rPr>
                <w:rFonts w:ascii="仿宋_GB2312" w:hAnsi="仿宋_GB2312" w:cs="仿宋_GB2312" w:eastAsia="仿宋_GB2312"/>
                <w:sz w:val="21"/>
              </w:rPr>
              <w:t xml:space="preserve">           具体为：</w:t>
            </w:r>
            <w:r>
              <w:rPr>
                <w:rFonts w:ascii="仿宋_GB2312" w:hAnsi="仿宋_GB2312" w:cs="仿宋_GB2312" w:eastAsia="仿宋_GB2312"/>
                <w:sz w:val="21"/>
              </w:rPr>
              <w:t>合同包一，人文社科类图书，预算金额34万元，约6800册；相关学科图书订购到馆率不低于75%（附学校二级学院及相关专业名录）:</w:t>
            </w:r>
          </w:p>
          <w:tbl>
            <w:tblPr>
              <w:tblBorders>
                <w:top w:val="none" w:color="000000" w:sz="4"/>
                <w:left w:val="none" w:color="000000" w:sz="4"/>
                <w:bottom w:val="none" w:color="000000" w:sz="4"/>
                <w:right w:val="none" w:color="000000" w:sz="4"/>
                <w:insideH w:val="none"/>
                <w:insideV w:val="none"/>
              </w:tblBorders>
            </w:tblPr>
            <w:tblGrid>
              <w:gridCol w:w="378"/>
              <w:gridCol w:w="1035"/>
              <w:gridCol w:w="1130"/>
            </w:tblGrid>
            <w:tr>
              <w:tc>
                <w:tcPr>
                  <w:tcW w:type="dxa" w:w="378"/>
                  <w:vMerge w:val="restart"/>
                  <w:tcBorders>
                    <w:top w:val="single" w:color="333333"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序号</w:t>
                  </w:r>
                </w:p>
              </w:tc>
              <w:tc>
                <w:tcPr>
                  <w:tcW w:type="dxa" w:w="1035"/>
                  <w:vMerge w:val="restart"/>
                  <w:tcBorders>
                    <w:top w:val="single" w:color="333333"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学</w:t>
                  </w:r>
                  <w:r>
                    <w:rPr>
                      <w:rFonts w:ascii="仿宋_GB2312" w:hAnsi="仿宋_GB2312" w:cs="仿宋_GB2312" w:eastAsia="仿宋_GB2312"/>
                      <w:sz w:val="18"/>
                    </w:rPr>
                    <w:t xml:space="preserve">  院</w:t>
                  </w:r>
                </w:p>
              </w:tc>
              <w:tc>
                <w:tcPr>
                  <w:tcW w:type="dxa" w:w="1130"/>
                  <w:vMerge w:val="restart"/>
                  <w:tcBorders>
                    <w:top w:val="single" w:color="333333"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专业名称</w:t>
                  </w:r>
                </w:p>
              </w:tc>
            </w:tr>
            <w:tr>
              <w:tc>
                <w:tcPr>
                  <w:tcW w:type="dxa" w:w="378"/>
                  <w:vMerge/>
                  <w:tcBorders>
                    <w:top w:val="single" w:color="333333" w:sz="4"/>
                    <w:left w:val="single" w:color="333333" w:sz="4"/>
                    <w:bottom w:val="single" w:color="333333" w:sz="4"/>
                    <w:right w:val="single" w:color="333333" w:sz="4"/>
                  </w:tcBorders>
                </w:tcPr>
                <w:p/>
              </w:tc>
              <w:tc>
                <w:tcPr>
                  <w:tcW w:type="dxa" w:w="1035"/>
                  <w:vMerge/>
                  <w:tcBorders>
                    <w:top w:val="single" w:color="333333" w:sz="4"/>
                    <w:left w:val="none" w:color="000000" w:sz="4"/>
                    <w:bottom w:val="single" w:color="333333" w:sz="4"/>
                    <w:right w:val="single" w:color="333333" w:sz="4"/>
                  </w:tcBorders>
                </w:tcPr>
                <w:p/>
              </w:tc>
              <w:tc>
                <w:tcPr>
                  <w:tcW w:type="dxa" w:w="1130"/>
                  <w:vMerge/>
                  <w:tcBorders>
                    <w:top w:val="single" w:color="333333" w:sz="4"/>
                    <w:left w:val="none" w:color="000000" w:sz="4"/>
                    <w:bottom w:val="single" w:color="333333" w:sz="4"/>
                    <w:right w:val="single" w:color="333333" w:sz="4"/>
                  </w:tcBorders>
                </w:tcPr>
                <w:p/>
              </w:tc>
            </w:tr>
            <w:tr>
              <w:tc>
                <w:tcPr>
                  <w:tcW w:type="dxa" w:w="378"/>
                  <w:vMerge w:val="restart"/>
                  <w:tcBorders>
                    <w:top w:val="none" w:color="000000"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1</w:t>
                  </w:r>
                </w:p>
              </w:tc>
              <w:tc>
                <w:tcPr>
                  <w:tcW w:type="dxa" w:w="1035"/>
                  <w:vMerge w:val="restart"/>
                  <w:tcBorders>
                    <w:top w:val="none" w:color="000000"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会计金融学院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大数据与会计</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大数据与财务管理</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金融服务与管理</w:t>
                  </w:r>
                </w:p>
              </w:tc>
            </w:tr>
            <w:tr>
              <w:tc>
                <w:tcPr>
                  <w:tcW w:type="dxa" w:w="378"/>
                  <w:vMerge w:val="restart"/>
                  <w:tcBorders>
                    <w:top w:val="single" w:color="333333"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2</w:t>
                  </w:r>
                </w:p>
              </w:tc>
              <w:tc>
                <w:tcPr>
                  <w:tcW w:type="dxa" w:w="1035"/>
                  <w:vMerge w:val="restart"/>
                  <w:tcBorders>
                    <w:top w:val="single" w:color="333333"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管理学院</w:t>
                  </w:r>
                </w:p>
                <w:p>
                  <w:pPr>
                    <w:pStyle w:val="null3"/>
                    <w:ind w:firstLine="360"/>
                    <w:jc w:val="center"/>
                  </w:p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18"/>
                    </w:rPr>
                    <w:t>现代物流管理</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市场营销</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关务与外贸服务</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电子商务</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人力资源管理</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供应链运</w:t>
                  </w:r>
                  <w:r>
                    <w:rPr>
                      <w:rFonts w:ascii="仿宋_GB2312" w:hAnsi="仿宋_GB2312" w:cs="仿宋_GB2312" w:eastAsia="仿宋_GB2312"/>
                      <w:sz w:val="18"/>
                    </w:rPr>
                    <w:t>营</w:t>
                  </w:r>
                </w:p>
              </w:tc>
            </w:tr>
            <w:tr>
              <w:tc>
                <w:tcPr>
                  <w:tcW w:type="dxa" w:w="378"/>
                  <w:vMerge w:val="restart"/>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3</w:t>
                  </w:r>
                </w:p>
              </w:tc>
              <w:tc>
                <w:tcPr>
                  <w:tcW w:type="dxa" w:w="1035"/>
                  <w:vMerge w:val="restart"/>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建筑工程学院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建筑设备工程技术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建筑装饰工程技术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建设工程管理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建筑智能化工程技术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现代物业管理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工程造价</w:t>
                  </w:r>
                </w:p>
              </w:tc>
            </w:tr>
            <w:tr>
              <w:tc>
                <w:tcPr>
                  <w:tcW w:type="dxa" w:w="378"/>
                  <w:vMerge w:val="restart"/>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4</w:t>
                  </w:r>
                </w:p>
              </w:tc>
              <w:tc>
                <w:tcPr>
                  <w:tcW w:type="dxa" w:w="1035"/>
                  <w:vMerge w:val="restart"/>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旅游与酒店管理学院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酒店管理与数字化运营</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空中乘务</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旅游英语</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旅游日语</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会展策划与管理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烹饪工艺与营养</w:t>
                  </w:r>
                </w:p>
              </w:tc>
            </w:tr>
            <w:tr>
              <w:tc>
                <w:tcPr>
                  <w:tcW w:type="dxa" w:w="378"/>
                  <w:vMerge w:val="restart"/>
                  <w:tcBorders>
                    <w:top w:val="none" w:color="000000"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5</w:t>
                  </w:r>
                </w:p>
              </w:tc>
              <w:tc>
                <w:tcPr>
                  <w:tcW w:type="dxa" w:w="1035"/>
                  <w:vMerge w:val="restart"/>
                  <w:tcBorders>
                    <w:top w:val="none" w:color="000000"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信息与</w:t>
                  </w:r>
                  <w:r>
                    <w:rPr>
                      <w:rFonts w:ascii="仿宋_GB2312" w:hAnsi="仿宋_GB2312" w:cs="仿宋_GB2312" w:eastAsia="仿宋_GB2312"/>
                      <w:sz w:val="18"/>
                    </w:rPr>
                    <w:t>未来</w:t>
                  </w:r>
                  <w:r>
                    <w:rPr>
                      <w:rFonts w:ascii="仿宋_GB2312" w:hAnsi="仿宋_GB2312" w:cs="仿宋_GB2312" w:eastAsia="仿宋_GB2312"/>
                      <w:sz w:val="18"/>
                    </w:rPr>
                    <w:t>技术学院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计算机</w:t>
                  </w:r>
                  <w:r>
                    <w:rPr>
                      <w:rFonts w:ascii="仿宋_GB2312" w:hAnsi="仿宋_GB2312" w:cs="仿宋_GB2312" w:eastAsia="仿宋_GB2312"/>
                      <w:sz w:val="18"/>
                    </w:rPr>
                    <w:t>应用技术</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信息安全技术应用</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现代移动通信技术</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网络营销与直播电商</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大数据技术</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虚拟现实技术应用</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人工智能技术应用</w:t>
                  </w:r>
                </w:p>
              </w:tc>
            </w:tr>
            <w:tr>
              <w:tc>
                <w:tcPr>
                  <w:tcW w:type="dxa" w:w="378"/>
                  <w:vMerge w:val="restart"/>
                  <w:tcBorders>
                    <w:top w:val="none" w:color="000000"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6</w:t>
                  </w:r>
                </w:p>
              </w:tc>
              <w:tc>
                <w:tcPr>
                  <w:tcW w:type="dxa" w:w="1035"/>
                  <w:vMerge w:val="restart"/>
                  <w:tcBorders>
                    <w:top w:val="none" w:color="000000"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艺术</w:t>
                  </w:r>
                  <w:r>
                    <w:rPr>
                      <w:rFonts w:ascii="仿宋_GB2312" w:hAnsi="仿宋_GB2312" w:cs="仿宋_GB2312" w:eastAsia="仿宋_GB2312"/>
                      <w:sz w:val="18"/>
                    </w:rPr>
                    <w:t>设计学院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广播影视节目制作</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广告艺术设计</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舞台艺术设计与制作</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环境艺术设计</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数字媒体艺术设计</w:t>
                  </w:r>
                </w:p>
              </w:tc>
            </w:tr>
            <w:tr>
              <w:tc>
                <w:tcPr>
                  <w:tcW w:type="dxa" w:w="378"/>
                  <w:vMerge w:val="restart"/>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7</w:t>
                  </w:r>
                </w:p>
              </w:tc>
              <w:tc>
                <w:tcPr>
                  <w:tcW w:type="dxa" w:w="1035"/>
                  <w:vMerge w:val="restart"/>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智能制造</w:t>
                  </w:r>
                  <w:r>
                    <w:rPr>
                      <w:rFonts w:ascii="仿宋_GB2312" w:hAnsi="仿宋_GB2312" w:cs="仿宋_GB2312" w:eastAsia="仿宋_GB2312"/>
                      <w:sz w:val="18"/>
                    </w:rPr>
                    <w:t>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汽车制造与试验技术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飞机机电</w:t>
                  </w:r>
                  <w:r>
                    <w:rPr>
                      <w:rFonts w:ascii="仿宋_GB2312" w:hAnsi="仿宋_GB2312" w:cs="仿宋_GB2312" w:eastAsia="仿宋_GB2312"/>
                      <w:sz w:val="18"/>
                    </w:rPr>
                    <w:t>设备维修</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新能源汽车技术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汽车检测与维修技术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工业机器人技术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数控技术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机电一体化技术</w:t>
                  </w:r>
                </w:p>
              </w:tc>
            </w:tr>
            <w:tr>
              <w:tc>
                <w:tcPr>
                  <w:tcW w:type="dxa" w:w="378"/>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8</w:t>
                  </w:r>
                </w:p>
              </w:tc>
              <w:tc>
                <w:tcPr>
                  <w:tcW w:type="dxa" w:w="1035"/>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学前</w:t>
                  </w:r>
                  <w:r>
                    <w:rPr>
                      <w:rFonts w:ascii="仿宋_GB2312" w:hAnsi="仿宋_GB2312" w:cs="仿宋_GB2312" w:eastAsia="仿宋_GB2312"/>
                      <w:sz w:val="18"/>
                    </w:rPr>
                    <w:t>师范</w:t>
                  </w:r>
                  <w:r>
                    <w:rPr>
                      <w:rFonts w:ascii="仿宋_GB2312" w:hAnsi="仿宋_GB2312" w:cs="仿宋_GB2312" w:eastAsia="仿宋_GB2312"/>
                      <w:sz w:val="18"/>
                    </w:rPr>
                    <w:t>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学前教育</w:t>
                  </w:r>
                </w:p>
              </w:tc>
            </w:tr>
            <w:tr>
              <w:tc>
                <w:tcPr>
                  <w:tcW w:type="dxa" w:w="378"/>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p>
              </w:tc>
              <w:tc>
                <w:tcPr>
                  <w:tcW w:type="dxa" w:w="1035"/>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18"/>
                    </w:rPr>
                    <w:t>早期教育</w:t>
                  </w:r>
                </w:p>
              </w:tc>
            </w:tr>
            <w:tr>
              <w:tc>
                <w:tcPr>
                  <w:tcW w:type="dxa" w:w="378"/>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9</w:t>
                  </w:r>
                </w:p>
              </w:tc>
              <w:tc>
                <w:tcPr>
                  <w:tcW w:type="dxa" w:w="1035"/>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护理</w:t>
                  </w:r>
                  <w:r>
                    <w:rPr>
                      <w:rFonts w:ascii="仿宋_GB2312" w:hAnsi="仿宋_GB2312" w:cs="仿宋_GB2312" w:eastAsia="仿宋_GB2312"/>
                      <w:sz w:val="18"/>
                    </w:rPr>
                    <w:t>与健康</w:t>
                  </w:r>
                  <w:r>
                    <w:rPr>
                      <w:rFonts w:ascii="仿宋_GB2312" w:hAnsi="仿宋_GB2312" w:cs="仿宋_GB2312" w:eastAsia="仿宋_GB2312"/>
                      <w:sz w:val="18"/>
                    </w:rPr>
                    <w:t>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护理</w:t>
                  </w:r>
                </w:p>
              </w:tc>
            </w:tr>
          </w:tbl>
          <w:p>
            <w:pPr>
              <w:pStyle w:val="null3"/>
              <w:ind w:firstLine="360"/>
              <w:jc w:val="both"/>
            </w:pPr>
            <w:r>
              <w:rPr>
                <w:rFonts w:ascii="仿宋_GB2312" w:hAnsi="仿宋_GB2312" w:cs="仿宋_GB2312" w:eastAsia="仿宋_GB2312"/>
                <w:sz w:val="18"/>
              </w:rPr>
              <w:t>3</w:t>
            </w:r>
            <w:r>
              <w:rPr>
                <w:rFonts w:ascii="仿宋_GB2312" w:hAnsi="仿宋_GB2312" w:cs="仿宋_GB2312" w:eastAsia="仿宋_GB2312"/>
                <w:sz w:val="18"/>
              </w:rPr>
              <w:t>.图书质量要求：要求所供图书必须是国家正规出版社出版的全新正版图书。图书出版质量须符合国家标准、行业标准和新闻出版总署关于图书出版质量的管理规定。同时随书免费提供CNMARC书目数据，并符合样本格式及运行要求（附：中文图书CNMARC著录要求）。</w:t>
            </w:r>
          </w:p>
          <w:p>
            <w:pPr>
              <w:pStyle w:val="null3"/>
              <w:ind w:firstLine="360"/>
              <w:jc w:val="both"/>
            </w:pPr>
            <w:r>
              <w:rPr>
                <w:rFonts w:ascii="仿宋_GB2312" w:hAnsi="仿宋_GB2312" w:cs="仿宋_GB2312" w:eastAsia="仿宋_GB2312"/>
                <w:sz w:val="18"/>
              </w:rPr>
              <w:t>4</w:t>
            </w:r>
            <w:r>
              <w:rPr>
                <w:rFonts w:ascii="仿宋_GB2312" w:hAnsi="仿宋_GB2312" w:cs="仿宋_GB2312" w:eastAsia="仿宋_GB2312"/>
                <w:sz w:val="18"/>
              </w:rPr>
              <w:t>.出版社要求</w:t>
            </w:r>
          </w:p>
          <w:p>
            <w:pPr>
              <w:pStyle w:val="null3"/>
              <w:ind w:firstLine="360"/>
              <w:jc w:val="both"/>
            </w:pPr>
            <w:r>
              <w:rPr>
                <w:rFonts w:ascii="仿宋_GB2312" w:hAnsi="仿宋_GB2312" w:cs="仿宋_GB2312" w:eastAsia="仿宋_GB2312"/>
                <w:sz w:val="18"/>
              </w:rPr>
              <w:t>以下出版社图书为</w:t>
            </w:r>
            <w:r>
              <w:rPr>
                <w:rFonts w:ascii="仿宋_GB2312" w:hAnsi="仿宋_GB2312" w:cs="仿宋_GB2312" w:eastAsia="仿宋_GB2312"/>
                <w:sz w:val="18"/>
              </w:rPr>
              <w:t>202</w:t>
            </w:r>
            <w:r>
              <w:rPr>
                <w:rFonts w:ascii="仿宋_GB2312" w:hAnsi="仿宋_GB2312" w:cs="仿宋_GB2312" w:eastAsia="仿宋_GB2312"/>
                <w:sz w:val="18"/>
              </w:rPr>
              <w:t>5</w:t>
            </w:r>
            <w:r>
              <w:rPr>
                <w:rFonts w:ascii="仿宋_GB2312" w:hAnsi="仿宋_GB2312" w:cs="仿宋_GB2312" w:eastAsia="仿宋_GB2312"/>
                <w:sz w:val="18"/>
              </w:rPr>
              <w:t>年度陕西开放大学图书馆纸质图书采购的重点对象：高等教育出版社、科学出版社、商务印书馆、中华书局、上海三联书店、生活</w:t>
            </w:r>
            <w:r>
              <w:rPr>
                <w:rFonts w:ascii="仿宋_GB2312" w:hAnsi="仿宋_GB2312" w:cs="仿宋_GB2312" w:eastAsia="仿宋_GB2312"/>
                <w:sz w:val="18"/>
              </w:rPr>
              <w:t>·读书·新知三联书店、人民出版社、人民文学出版社、译林出版社</w:t>
            </w:r>
            <w:r>
              <w:rPr>
                <w:rFonts w:ascii="仿宋_GB2312" w:hAnsi="仿宋_GB2312" w:cs="仿宋_GB2312" w:eastAsia="仿宋_GB2312"/>
                <w:sz w:val="18"/>
              </w:rPr>
              <w:t>、</w:t>
            </w:r>
            <w:r>
              <w:rPr>
                <w:rFonts w:ascii="仿宋_GB2312" w:hAnsi="仿宋_GB2312" w:cs="仿宋_GB2312" w:eastAsia="仿宋_GB2312"/>
                <w:sz w:val="18"/>
              </w:rPr>
              <w:t>中国青年出版社、中国经济出版社、经济科学出版社、法律出版社、中国金融出版社、经济管理出版社、立信会计出版社、中国政法大学出版社、科学出版社、中央编译出版社、社会科学文献出版社、中国财政经济出版社、中国社会科学出版社、上海译文出版社、外国文学出版社、中国建筑工业出版社、电子工业出版社、机械工业出版社及北京大学出版社、清华大学出版社、中国人民大学出版社、北京师范大学出版社、复旦</w:t>
            </w:r>
            <w:r>
              <w:rPr>
                <w:rFonts w:ascii="仿宋_GB2312" w:hAnsi="仿宋_GB2312" w:cs="仿宋_GB2312" w:eastAsia="仿宋_GB2312"/>
                <w:sz w:val="18"/>
              </w:rPr>
              <w:t>大学</w:t>
            </w:r>
            <w:r>
              <w:rPr>
                <w:rFonts w:ascii="仿宋_GB2312" w:hAnsi="仿宋_GB2312" w:cs="仿宋_GB2312" w:eastAsia="仿宋_GB2312"/>
                <w:sz w:val="18"/>
              </w:rPr>
              <w:t>出版社、上海财经大学出版社、外语教学与研究出版社、西北大学出版社、陕西师范大学出版社、广西师范大学出版社等大学出版社。供应商可提供与以上出版社合作的</w:t>
            </w:r>
            <w:r>
              <w:rPr>
                <w:rFonts w:ascii="仿宋_GB2312" w:hAnsi="仿宋_GB2312" w:cs="仿宋_GB2312" w:eastAsia="仿宋_GB2312"/>
                <w:sz w:val="18"/>
              </w:rPr>
              <w:t>授权书等证明材料</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21"/>
              </w:rPr>
              <w:t>5.供应商应保证以上重点出版社图书品种齐全，年度供货量不低于总数的80%，并及时提供相应新书目，应将招标文件所列重点出版社所有书目及出版动态每月一次提供作为参考，书目目录应包括：ISBN号、作者、出版社、出版日期、中图分类号、册套、定价及内容简介等。招标方根据书源情况和出版动态，按实际需求通过供应商订购或现采相关出版社的图书，供应商要保证所订图书到货率不得低于90%。</w:t>
            </w:r>
          </w:p>
          <w:p>
            <w:pPr>
              <w:pStyle w:val="null3"/>
              <w:ind w:firstLine="360"/>
              <w:jc w:val="both"/>
            </w:pPr>
            <w:r>
              <w:rPr>
                <w:rFonts w:ascii="仿宋_GB2312" w:hAnsi="仿宋_GB2312" w:cs="仿宋_GB2312" w:eastAsia="仿宋_GB2312"/>
                <w:sz w:val="18"/>
              </w:rPr>
              <w:t>6</w:t>
            </w:r>
            <w:r>
              <w:rPr>
                <w:rFonts w:ascii="仿宋_GB2312" w:hAnsi="仿宋_GB2312" w:cs="仿宋_GB2312" w:eastAsia="仿宋_GB2312"/>
                <w:sz w:val="18"/>
              </w:rPr>
              <w:t>.采购方法：现场采购和订单采购（包括书商提供及图书馆自行订制的书目）相结合。</w:t>
            </w:r>
          </w:p>
          <w:p>
            <w:pPr>
              <w:pStyle w:val="null3"/>
              <w:ind w:firstLine="360"/>
              <w:jc w:val="both"/>
            </w:pPr>
            <w:r>
              <w:rPr>
                <w:rFonts w:ascii="仿宋_GB2312" w:hAnsi="仿宋_GB2312" w:cs="仿宋_GB2312" w:eastAsia="仿宋_GB2312"/>
                <w:sz w:val="18"/>
              </w:rPr>
              <w:t>7.</w:t>
            </w:r>
            <w:r>
              <w:rPr>
                <w:rFonts w:ascii="仿宋_GB2312" w:hAnsi="仿宋_GB2312" w:cs="仿宋_GB2312" w:eastAsia="仿宋_GB2312"/>
                <w:sz w:val="18"/>
              </w:rPr>
              <w:t>复本量：视学科及专业需求而定，每种图书的复本量一般为</w:t>
            </w:r>
            <w:r>
              <w:rPr>
                <w:rFonts w:ascii="仿宋_GB2312" w:hAnsi="仿宋_GB2312" w:cs="仿宋_GB2312" w:eastAsia="仿宋_GB2312"/>
                <w:sz w:val="18"/>
              </w:rPr>
              <w:t>3</w:t>
            </w:r>
            <w:r>
              <w:rPr>
                <w:rFonts w:ascii="仿宋_GB2312" w:hAnsi="仿宋_GB2312" w:cs="仿宋_GB2312" w:eastAsia="仿宋_GB2312"/>
                <w:sz w:val="18"/>
              </w:rPr>
              <w:t>册。</w:t>
            </w:r>
          </w:p>
          <w:p>
            <w:pPr>
              <w:pStyle w:val="null3"/>
              <w:ind w:firstLine="360"/>
              <w:jc w:val="both"/>
            </w:pPr>
            <w:r>
              <w:rPr>
                <w:rFonts w:ascii="仿宋_GB2312" w:hAnsi="仿宋_GB2312" w:cs="仿宋_GB2312" w:eastAsia="仿宋_GB2312"/>
                <w:sz w:val="18"/>
              </w:rPr>
              <w:t>8.</w:t>
            </w:r>
            <w:r>
              <w:rPr>
                <w:rFonts w:ascii="仿宋_GB2312" w:hAnsi="仿宋_GB2312" w:cs="仿宋_GB2312" w:eastAsia="仿宋_GB2312"/>
                <w:sz w:val="18"/>
              </w:rPr>
              <w:t>服务要求：</w:t>
            </w:r>
          </w:p>
          <w:p>
            <w:pPr>
              <w:pStyle w:val="null3"/>
              <w:numPr>
                <w:ilvl w:val="0"/>
                <w:numId w:val="1"/>
              </w:numPr>
              <w:jc w:val="left"/>
            </w:pPr>
            <w:r>
              <w:rPr>
                <w:rFonts w:ascii="仿宋_GB2312" w:hAnsi="仿宋_GB2312" w:cs="仿宋_GB2312" w:eastAsia="仿宋_GB2312"/>
                <w:sz w:val="18"/>
              </w:rPr>
              <w:t>订单查重</w:t>
            </w:r>
            <w:r>
              <w:rPr>
                <w:rFonts w:ascii="仿宋_GB2312" w:hAnsi="仿宋_GB2312" w:cs="仿宋_GB2312" w:eastAsia="仿宋_GB2312"/>
                <w:sz w:val="18"/>
              </w:rPr>
              <w:t>和单本码洋要求</w:t>
            </w:r>
            <w:r>
              <w:rPr>
                <w:rFonts w:ascii="仿宋_GB2312" w:hAnsi="仿宋_GB2312" w:cs="仿宋_GB2312" w:eastAsia="仿宋_GB2312"/>
                <w:sz w:val="18"/>
              </w:rPr>
              <w:t>：严格对采购方选订或报订的订单书目进行查重，与采购方核实确认，避免重复购书</w:t>
            </w:r>
            <w:r>
              <w:rPr>
                <w:rFonts w:ascii="仿宋_GB2312" w:hAnsi="仿宋_GB2312" w:cs="仿宋_GB2312" w:eastAsia="仿宋_GB2312"/>
                <w:sz w:val="18"/>
              </w:rPr>
              <w:t>，单本码洋不得低于</w:t>
            </w:r>
            <w:r>
              <w:rPr>
                <w:rFonts w:ascii="仿宋_GB2312" w:hAnsi="仿宋_GB2312" w:cs="仿宋_GB2312" w:eastAsia="仿宋_GB2312"/>
                <w:sz w:val="18"/>
              </w:rPr>
              <w:t>35元</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订单订购或现采图书完成后，及时送交需方指定地点。采用防水包装纸打包，每批图书附加盖公章的清单一式两份（一份总清单，一份随包清单）。清单包含信息：书名、</w:t>
            </w:r>
            <w:r>
              <w:rPr>
                <w:rFonts w:ascii="仿宋_GB2312" w:hAnsi="仿宋_GB2312" w:cs="仿宋_GB2312" w:eastAsia="仿宋_GB2312"/>
                <w:sz w:val="18"/>
              </w:rPr>
              <w:t>ISBN号、出版社、价格、复本数量以及当次送书每包册数、种数、码洋，及合计总册数、种数及总码洋等。图书在包中封装顺序与图书清单顺序一致。</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）为所供图书免费提供包括拆包验收、查重著录（见</w:t>
            </w:r>
            <w:r>
              <w:rPr>
                <w:rFonts w:ascii="仿宋_GB2312" w:hAnsi="仿宋_GB2312" w:cs="仿宋_GB2312" w:eastAsia="仿宋_GB2312"/>
                <w:sz w:val="18"/>
              </w:rPr>
              <w:t>中文图书</w:t>
            </w:r>
            <w:r>
              <w:rPr>
                <w:rFonts w:ascii="仿宋_GB2312" w:hAnsi="仿宋_GB2312" w:cs="仿宋_GB2312" w:eastAsia="仿宋_GB2312"/>
                <w:sz w:val="18"/>
              </w:rPr>
              <w:t>CNMARC著录要求</w:t>
            </w:r>
            <w:r>
              <w:rPr>
                <w:rFonts w:ascii="仿宋_GB2312" w:hAnsi="仿宋_GB2312" w:cs="仿宋_GB2312" w:eastAsia="仿宋_GB2312"/>
                <w:sz w:val="18"/>
              </w:rPr>
              <w:t>）、打号盖章、贴书标条码、加磁条</w:t>
            </w:r>
            <w:r>
              <w:rPr>
                <w:rFonts w:ascii="仿宋_GB2312" w:hAnsi="仿宋_GB2312" w:cs="仿宋_GB2312" w:eastAsia="仿宋_GB2312"/>
                <w:sz w:val="18"/>
              </w:rPr>
              <w:t>、打包送库</w:t>
            </w:r>
            <w:r>
              <w:rPr>
                <w:rFonts w:ascii="仿宋_GB2312" w:hAnsi="仿宋_GB2312" w:cs="仿宋_GB2312" w:eastAsia="仿宋_GB2312"/>
                <w:sz w:val="18"/>
              </w:rPr>
              <w:t>等图书加工服务。并免费提供钴基复合</w:t>
            </w:r>
            <w:r>
              <w:rPr>
                <w:rFonts w:ascii="仿宋_GB2312" w:hAnsi="仿宋_GB2312" w:cs="仿宋_GB2312" w:eastAsia="仿宋_GB2312"/>
                <w:sz w:val="18"/>
              </w:rPr>
              <w:t>16cm磁条、条码、书标、覆膜</w:t>
            </w:r>
            <w:r>
              <w:rPr>
                <w:rFonts w:ascii="仿宋_GB2312" w:hAnsi="仿宋_GB2312" w:cs="仿宋_GB2312" w:eastAsia="仿宋_GB2312"/>
                <w:sz w:val="18"/>
              </w:rPr>
              <w:t>、</w:t>
            </w:r>
            <w:r>
              <w:rPr>
                <w:rFonts w:ascii="仿宋_GB2312" w:hAnsi="仿宋_GB2312" w:cs="仿宋_GB2312" w:eastAsia="仿宋_GB2312"/>
                <w:sz w:val="18"/>
              </w:rPr>
              <w:t>打包纸、</w:t>
            </w:r>
            <w:r>
              <w:rPr>
                <w:rFonts w:ascii="仿宋_GB2312" w:hAnsi="仿宋_GB2312" w:cs="仿宋_GB2312" w:eastAsia="仿宋_GB2312"/>
                <w:sz w:val="18"/>
              </w:rPr>
              <w:t>打包</w:t>
            </w:r>
            <w:r>
              <w:rPr>
                <w:rFonts w:ascii="仿宋_GB2312" w:hAnsi="仿宋_GB2312" w:cs="仿宋_GB2312" w:eastAsia="仿宋_GB2312"/>
                <w:sz w:val="18"/>
              </w:rPr>
              <w:t>带</w:t>
            </w:r>
            <w:r>
              <w:rPr>
                <w:rFonts w:ascii="仿宋_GB2312" w:hAnsi="仿宋_GB2312" w:cs="仿宋_GB2312" w:eastAsia="仿宋_GB2312"/>
                <w:sz w:val="18"/>
              </w:rPr>
              <w:t>等所涉及耗材。</w:t>
            </w:r>
          </w:p>
          <w:p>
            <w:pPr>
              <w:pStyle w:val="null3"/>
              <w:jc w:val="left"/>
            </w:pPr>
            <w:r>
              <w:rPr>
                <w:rFonts w:ascii="仿宋_GB2312" w:hAnsi="仿宋_GB2312" w:cs="仿宋_GB2312" w:eastAsia="仿宋_GB2312"/>
                <w:sz w:val="18"/>
                <w:b/>
              </w:rPr>
              <w:t>中文图书</w:t>
            </w:r>
            <w:r>
              <w:rPr>
                <w:rFonts w:ascii="仿宋_GB2312" w:hAnsi="仿宋_GB2312" w:cs="仿宋_GB2312" w:eastAsia="仿宋_GB2312"/>
                <w:sz w:val="18"/>
                <w:b/>
              </w:rPr>
              <w:t>CNMARC著录要求</w:t>
            </w:r>
          </w:p>
          <w:p>
            <w:pPr>
              <w:pStyle w:val="null3"/>
              <w:ind w:firstLine="360"/>
              <w:jc w:val="both"/>
            </w:pPr>
            <w:r>
              <w:rPr>
                <w:rFonts w:ascii="仿宋_GB2312" w:hAnsi="仿宋_GB2312" w:cs="仿宋_GB2312" w:eastAsia="仿宋_GB2312"/>
                <w:sz w:val="18"/>
              </w:rPr>
              <w:t>中文图书著录规则使用《</w:t>
            </w:r>
            <w:r>
              <w:rPr>
                <w:rFonts w:ascii="仿宋_GB2312" w:hAnsi="仿宋_GB2312" w:cs="仿宋_GB2312" w:eastAsia="仿宋_GB2312"/>
                <w:sz w:val="18"/>
              </w:rPr>
              <w:t>CALIS联机合作编目手册（上）》，具体字段规定见表一和表二。</w:t>
            </w:r>
          </w:p>
          <w:p>
            <w:pPr>
              <w:pStyle w:val="null3"/>
              <w:jc w:val="both"/>
            </w:pPr>
            <w:r>
              <w:rPr>
                <w:rFonts w:ascii="仿宋_GB2312" w:hAnsi="仿宋_GB2312" w:cs="仿宋_GB2312" w:eastAsia="仿宋_GB2312"/>
                <w:sz w:val="18"/>
                <w:b/>
              </w:rPr>
              <w:t>表一：</w:t>
            </w:r>
            <w:r>
              <w:rPr>
                <w:rFonts w:ascii="仿宋_GB2312" w:hAnsi="仿宋_GB2312" w:cs="仿宋_GB2312" w:eastAsia="仿宋_GB2312"/>
                <w:sz w:val="18"/>
                <w:b/>
              </w:rPr>
              <w:t>CNMARC的必备字段</w:t>
            </w:r>
          </w:p>
          <w:tbl>
            <w:tblPr>
              <w:tblInd w:type="dxa" w:w="105"/>
              <w:tblBorders>
                <w:top w:val="none" w:color="000000" w:sz="4"/>
                <w:left w:val="none" w:color="000000" w:sz="4"/>
                <w:bottom w:val="none" w:color="000000" w:sz="4"/>
                <w:right w:val="none" w:color="000000" w:sz="4"/>
                <w:insideH w:val="none"/>
                <w:insideV w:val="none"/>
              </w:tblBorders>
            </w:tblPr>
            <w:tblGrid>
              <w:gridCol w:w="331"/>
              <w:gridCol w:w="981"/>
              <w:gridCol w:w="483"/>
              <w:gridCol w:w="751"/>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必备字段</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字段名</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子字段</w:t>
                  </w:r>
                </w:p>
              </w:tc>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备注</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001   </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记录控制号</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005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记录版本标识</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010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国际标准书号</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$a、$b、$d、$z</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一般数据处理</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语种</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$a、$b、$c</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102</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国别</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编码数据：专著性文字资料</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106</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编码数据：文字资料</w:t>
                  </w:r>
                  <w:r>
                    <w:rPr>
                      <w:rFonts w:ascii="仿宋_GB2312" w:hAnsi="仿宋_GB2312" w:cs="仿宋_GB2312" w:eastAsia="仿宋_GB2312"/>
                      <w:sz w:val="18"/>
                    </w:rPr>
                    <w:t>—形态特征</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题名与责任说明项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$a、$c、$d、$e、$f、$g、$h、$i、$z、$A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版本项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除第一版外，必备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出版发行项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$a、$c、$d、$h</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载体形态项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$a、$i、$c、$d、$e</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丛编项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有丛书名，必备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附注</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327</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内容附注</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多卷书合编</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丛编连接</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并列正题名</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$a、$e、$z</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517</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其他题名</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606</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普通主题</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$a、$x、$y、$z</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690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《中图法》分类号</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$a、$v</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701  </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人名</w:t>
                  </w:r>
                  <w:r>
                    <w:rPr>
                      <w:rFonts w:ascii="仿宋_GB2312" w:hAnsi="仿宋_GB2312" w:cs="仿宋_GB2312" w:eastAsia="仿宋_GB2312"/>
                      <w:sz w:val="18"/>
                    </w:rPr>
                    <w:t>—等同责任者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702</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人名</w:t>
                  </w:r>
                  <w:r>
                    <w:rPr>
                      <w:rFonts w:ascii="仿宋_GB2312" w:hAnsi="仿宋_GB2312" w:cs="仿宋_GB2312" w:eastAsia="仿宋_GB2312"/>
                      <w:sz w:val="18"/>
                    </w:rPr>
                    <w:t>—次要责任者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团体</w:t>
                  </w:r>
                  <w:r>
                    <w:rPr>
                      <w:rFonts w:ascii="仿宋_GB2312" w:hAnsi="仿宋_GB2312" w:cs="仿宋_GB2312" w:eastAsia="仿宋_GB2312"/>
                      <w:sz w:val="18"/>
                    </w:rPr>
                    <w:t>—等同责任者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712</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团体</w:t>
                  </w:r>
                  <w:r>
                    <w:rPr>
                      <w:rFonts w:ascii="仿宋_GB2312" w:hAnsi="仿宋_GB2312" w:cs="仿宋_GB2312" w:eastAsia="仿宋_GB2312"/>
                      <w:sz w:val="18"/>
                    </w:rPr>
                    <w:t>—次要责任者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801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记录来源</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$a、$b、$c</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18"/>
                <w:b/>
              </w:rPr>
              <w:t>表二：</w:t>
            </w:r>
            <w:r>
              <w:rPr>
                <w:rFonts w:ascii="仿宋_GB2312" w:hAnsi="仿宋_GB2312" w:cs="仿宋_GB2312" w:eastAsia="仿宋_GB2312"/>
                <w:sz w:val="18"/>
                <w:b/>
              </w:rPr>
              <w:t>CNMARC必备字段的子字段要求</w:t>
            </w:r>
          </w:p>
          <w:tbl>
            <w:tblPr>
              <w:tblInd w:type="dxa" w:w="105"/>
              <w:tblBorders>
                <w:top w:val="none" w:color="000000" w:sz="4"/>
                <w:left w:val="none" w:color="000000" w:sz="4"/>
                <w:bottom w:val="none" w:color="000000" w:sz="4"/>
                <w:right w:val="none" w:color="000000" w:sz="4"/>
                <w:insideH w:val="none"/>
                <w:insideV w:val="none"/>
              </w:tblBorders>
            </w:tblPr>
            <w:tblGrid>
              <w:gridCol w:w="331"/>
              <w:gridCol w:w="981"/>
              <w:gridCol w:w="769"/>
              <w:gridCol w:w="460"/>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必备字段</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子字段名</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对应字段</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备注</w:t>
                  </w:r>
                </w:p>
              </w:tc>
            </w:tr>
            <w:tr>
              <w:tc>
                <w:tcPr>
                  <w:tcW w:type="dxa" w:w="3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$f 第一责任者（个人）</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701$a</w:t>
                  </w:r>
                </w:p>
              </w:tc>
              <w:tc>
                <w:tcPr>
                  <w:tcW w:type="dxa" w:w="4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7XX字段</w:t>
                  </w:r>
                </w:p>
                <w:p>
                  <w:pPr>
                    <w:pStyle w:val="null3"/>
                    <w:jc w:val="both"/>
                  </w:pPr>
                  <w:r>
                    <w:rPr>
                      <w:rFonts w:ascii="仿宋_GB2312" w:hAnsi="仿宋_GB2312" w:cs="仿宋_GB2312" w:eastAsia="仿宋_GB2312"/>
                      <w:sz w:val="18"/>
                    </w:rPr>
                    <w:t>为检索点</w:t>
                  </w:r>
                </w:p>
              </w:tc>
            </w:tr>
            <w:tr>
              <w:tc>
                <w:tcPr>
                  <w:tcW w:type="dxa" w:w="331"/>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$f 第一责任者（团体）</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711$a</w:t>
                  </w:r>
                </w:p>
              </w:tc>
              <w:tc>
                <w:tcPr>
                  <w:tcW w:type="dxa" w:w="460"/>
                  <w:vMerge/>
                  <w:tcBorders>
                    <w:top w:val="none" w:color="000000" w:sz="4"/>
                    <w:left w:val="single" w:color="000000" w:sz="4"/>
                    <w:bottom w:val="single" w:color="000000" w:sz="4"/>
                    <w:right w:val="single" w:color="000000" w:sz="4"/>
                  </w:tcBorders>
                </w:tcPr>
                <w:p/>
              </w:tc>
            </w:tr>
            <w:tr>
              <w:tc>
                <w:tcPr>
                  <w:tcW w:type="dxa" w:w="331"/>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$g其他责任者（个人）</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702$a</w:t>
                  </w:r>
                </w:p>
              </w:tc>
              <w:tc>
                <w:tcPr>
                  <w:tcW w:type="dxa" w:w="460"/>
                  <w:vMerge/>
                  <w:tcBorders>
                    <w:top w:val="none" w:color="000000" w:sz="4"/>
                    <w:left w:val="single" w:color="000000" w:sz="4"/>
                    <w:bottom w:val="single" w:color="000000" w:sz="4"/>
                    <w:right w:val="single" w:color="000000" w:sz="4"/>
                  </w:tcBorders>
                </w:tcPr>
                <w:p/>
              </w:tc>
            </w:tr>
            <w:tr>
              <w:tc>
                <w:tcPr>
                  <w:tcW w:type="dxa" w:w="331"/>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$g其他责任者（团体）</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712$a</w:t>
                  </w:r>
                </w:p>
              </w:tc>
              <w:tc>
                <w:tcPr>
                  <w:tcW w:type="dxa" w:w="460"/>
                  <w:vMerge/>
                  <w:tcBorders>
                    <w:top w:val="none" w:color="000000" w:sz="4"/>
                    <w:left w:val="single" w:color="000000" w:sz="4"/>
                    <w:bottom w:val="single" w:color="000000" w:sz="4"/>
                    <w:right w:val="single" w:color="000000" w:sz="4"/>
                  </w:tcBorders>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410$1</w:t>
                  </w:r>
                </w:p>
              </w:tc>
              <w:tc>
                <w:tcPr>
                  <w:tcW w:type="dxa" w:w="460"/>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18"/>
              </w:rPr>
              <w:t>依据《中图法》（</w:t>
            </w:r>
            <w:r>
              <w:rPr>
                <w:rFonts w:ascii="仿宋_GB2312" w:hAnsi="仿宋_GB2312" w:cs="仿宋_GB2312" w:eastAsia="仿宋_GB2312"/>
                <w:sz w:val="18"/>
              </w:rPr>
              <w:t>5版）分类</w:t>
            </w:r>
          </w:p>
          <w:p>
            <w:pPr>
              <w:pStyle w:val="null3"/>
              <w:ind w:firstLine="360"/>
              <w:jc w:val="both"/>
            </w:pPr>
            <w:r>
              <w:rPr>
                <w:rFonts w:ascii="仿宋_GB2312" w:hAnsi="仿宋_GB2312" w:cs="仿宋_GB2312" w:eastAsia="仿宋_GB2312"/>
                <w:sz w:val="18"/>
              </w:rPr>
              <w:t>9.</w:t>
            </w:r>
            <w:r>
              <w:rPr>
                <w:rFonts w:ascii="仿宋_GB2312" w:hAnsi="仿宋_GB2312" w:cs="仿宋_GB2312" w:eastAsia="仿宋_GB2312"/>
                <w:sz w:val="18"/>
              </w:rPr>
              <w:t>验收和退货</w:t>
            </w:r>
          </w:p>
          <w:p>
            <w:pPr>
              <w:pStyle w:val="null3"/>
              <w:ind w:firstLine="360"/>
              <w:jc w:val="both"/>
            </w:pPr>
            <w:r>
              <w:rPr>
                <w:rFonts w:ascii="仿宋_GB2312" w:hAnsi="仿宋_GB2312" w:cs="仿宋_GB2312" w:eastAsia="仿宋_GB2312"/>
                <w:sz w:val="18"/>
              </w:rPr>
              <w:t>供应商应派专人与采购方严格按照订单进行验收，凡有下列情况之一，采购方有权要求无条件退货：</w:t>
            </w:r>
          </w:p>
          <w:p>
            <w:pPr>
              <w:pStyle w:val="null3"/>
              <w:jc w:val="both"/>
            </w:pPr>
            <w:r>
              <w:rPr>
                <w:rFonts w:ascii="仿宋_GB2312" w:hAnsi="仿宋_GB2312" w:cs="仿宋_GB2312" w:eastAsia="仿宋_GB2312"/>
                <w:sz w:val="18"/>
              </w:rPr>
              <w:t xml:space="preserve">  1.与订单不符、</w:t>
            </w:r>
            <w:r>
              <w:rPr>
                <w:rFonts w:ascii="仿宋_GB2312" w:hAnsi="仿宋_GB2312" w:cs="仿宋_GB2312" w:eastAsia="仿宋_GB2312"/>
                <w:sz w:val="18"/>
              </w:rPr>
              <w:t>盗版、缺页、污损、错配、印刷质量不符合要求</w:t>
            </w:r>
            <w:r>
              <w:rPr>
                <w:rFonts w:ascii="仿宋_GB2312" w:hAnsi="仿宋_GB2312" w:cs="仿宋_GB2312" w:eastAsia="仿宋_GB2312"/>
                <w:sz w:val="18"/>
              </w:rPr>
              <w:t>、</w:t>
            </w:r>
            <w:r>
              <w:rPr>
                <w:rFonts w:ascii="仿宋_GB2312" w:hAnsi="仿宋_GB2312" w:cs="仿宋_GB2312" w:eastAsia="仿宋_GB2312"/>
                <w:sz w:val="18"/>
              </w:rPr>
              <w:t>缺少附件等质量不合格的</w:t>
            </w:r>
            <w:r>
              <w:rPr>
                <w:rFonts w:ascii="仿宋_GB2312" w:hAnsi="仿宋_GB2312" w:cs="仿宋_GB2312" w:eastAsia="仿宋_GB2312"/>
                <w:sz w:val="18"/>
              </w:rPr>
              <w:t>图书</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 xml:space="preserve">  2.</w:t>
            </w:r>
            <w:r>
              <w:rPr>
                <w:rFonts w:ascii="仿宋_GB2312" w:hAnsi="仿宋_GB2312" w:cs="仿宋_GB2312" w:eastAsia="仿宋_GB2312"/>
                <w:sz w:val="18"/>
              </w:rPr>
              <w:t>因供应商提供图书信息不准确、识别困难或错误等导致采购方认为不适合入藏的图书，如：教材类、中小学及少儿图书、开本过大或过小等。</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.其他要求</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1）供应商提供订购书目质量承诺函，承诺内容如下：明确提供可供采购图书书目中一类出版社书目所占比例，并列举所能提供的一类出版社名称，并出具与其合作的相关合同或证明。</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2）供应商为完成本项目组建的工作小组，每个专业人员的情况和人员数应该明确表示：项目组人员的履历表应随投标文件一并提交，主要内容包括学历、经验业绩等。</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3）编目人员资格：供应方到馆加工人员应参加过calis中文图书编目业务培训</w:t>
            </w:r>
            <w:r>
              <w:rPr>
                <w:rFonts w:ascii="仿宋_GB2312" w:hAnsi="仿宋_GB2312" w:cs="仿宋_GB2312" w:eastAsia="仿宋_GB2312"/>
                <w:sz w:val="18"/>
              </w:rPr>
              <w:t>，并能够持证在规定的时间内完成图书加工任务。图书编目数据误差率准许范围不得超过</w:t>
            </w:r>
            <w:r>
              <w:rPr>
                <w:rFonts w:ascii="仿宋_GB2312" w:hAnsi="仿宋_GB2312" w:cs="仿宋_GB2312" w:eastAsia="仿宋_GB2312"/>
                <w:sz w:val="18"/>
              </w:rPr>
              <w:t>2‰。</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4）以上所需的各种证书、证件、证明、执照等若系复印件，须在复印件上加盖投标供应商有效的公章。</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标的名称：自然科学类图书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rPr>
              <w:t>采购内容及范围：采购2023年1月之后出版发行的正版纸质图书。图书类目为符合我校学科专业的人文社科类、自然科学类图书及综合类图书等共计约2万册。项目分3个合同包，每个合同包拟招供应商1家。</w:t>
            </w:r>
          </w:p>
          <w:p>
            <w:pPr>
              <w:pStyle w:val="null3"/>
            </w:pPr>
            <w:r>
              <w:rPr>
                <w:rFonts w:ascii="仿宋_GB2312" w:hAnsi="仿宋_GB2312" w:cs="仿宋_GB2312" w:eastAsia="仿宋_GB2312"/>
                <w:sz w:val="21"/>
              </w:rPr>
              <w:t xml:space="preserve">             具体为：合同包二，自然科学类图书，预算金额34万元，约6700册；相关学科图书订购到馆率不低于75%（附学校二级学院及相关专业名录）:</w:t>
            </w:r>
          </w:p>
          <w:tbl>
            <w:tblPr>
              <w:tblBorders>
                <w:top w:val="none" w:color="000000" w:sz="4"/>
                <w:left w:val="none" w:color="000000" w:sz="4"/>
                <w:bottom w:val="none" w:color="000000" w:sz="4"/>
                <w:right w:val="none" w:color="000000" w:sz="4"/>
                <w:insideH w:val="none"/>
                <w:insideV w:val="none"/>
              </w:tblBorders>
            </w:tblPr>
            <w:tblGrid>
              <w:gridCol w:w="378"/>
              <w:gridCol w:w="1035"/>
              <w:gridCol w:w="1130"/>
            </w:tblGrid>
            <w:tr>
              <w:tc>
                <w:tcPr>
                  <w:tcW w:type="dxa" w:w="378"/>
                  <w:vMerge w:val="restart"/>
                  <w:tcBorders>
                    <w:top w:val="single" w:color="333333"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序号</w:t>
                  </w:r>
                </w:p>
              </w:tc>
              <w:tc>
                <w:tcPr>
                  <w:tcW w:type="dxa" w:w="1035"/>
                  <w:vMerge w:val="restart"/>
                  <w:tcBorders>
                    <w:top w:val="single" w:color="333333"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学</w:t>
                  </w:r>
                  <w:r>
                    <w:rPr>
                      <w:rFonts w:ascii="仿宋_GB2312" w:hAnsi="仿宋_GB2312" w:cs="仿宋_GB2312" w:eastAsia="仿宋_GB2312"/>
                      <w:sz w:val="18"/>
                    </w:rPr>
                    <w:t xml:space="preserve">  院</w:t>
                  </w:r>
                </w:p>
              </w:tc>
              <w:tc>
                <w:tcPr>
                  <w:tcW w:type="dxa" w:w="1130"/>
                  <w:vMerge w:val="restart"/>
                  <w:tcBorders>
                    <w:top w:val="single" w:color="333333"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专业名称</w:t>
                  </w:r>
                </w:p>
              </w:tc>
            </w:tr>
            <w:tr>
              <w:tc>
                <w:tcPr>
                  <w:tcW w:type="dxa" w:w="378"/>
                  <w:vMerge/>
                  <w:tcBorders>
                    <w:top w:val="single" w:color="333333" w:sz="4"/>
                    <w:left w:val="single" w:color="333333" w:sz="4"/>
                    <w:bottom w:val="single" w:color="333333" w:sz="4"/>
                    <w:right w:val="single" w:color="333333" w:sz="4"/>
                  </w:tcBorders>
                </w:tcPr>
                <w:p/>
              </w:tc>
              <w:tc>
                <w:tcPr>
                  <w:tcW w:type="dxa" w:w="1035"/>
                  <w:vMerge/>
                  <w:tcBorders>
                    <w:top w:val="single" w:color="333333" w:sz="4"/>
                    <w:left w:val="none" w:color="000000" w:sz="4"/>
                    <w:bottom w:val="single" w:color="333333" w:sz="4"/>
                    <w:right w:val="single" w:color="333333" w:sz="4"/>
                  </w:tcBorders>
                </w:tcPr>
                <w:p/>
              </w:tc>
              <w:tc>
                <w:tcPr>
                  <w:tcW w:type="dxa" w:w="1130"/>
                  <w:vMerge/>
                  <w:tcBorders>
                    <w:top w:val="single" w:color="333333" w:sz="4"/>
                    <w:left w:val="none" w:color="000000" w:sz="4"/>
                    <w:bottom w:val="single" w:color="333333" w:sz="4"/>
                    <w:right w:val="single" w:color="333333" w:sz="4"/>
                  </w:tcBorders>
                </w:tcPr>
                <w:p/>
              </w:tc>
            </w:tr>
            <w:tr>
              <w:tc>
                <w:tcPr>
                  <w:tcW w:type="dxa" w:w="378"/>
                  <w:vMerge w:val="restart"/>
                  <w:tcBorders>
                    <w:top w:val="none" w:color="000000"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1</w:t>
                  </w:r>
                </w:p>
              </w:tc>
              <w:tc>
                <w:tcPr>
                  <w:tcW w:type="dxa" w:w="1035"/>
                  <w:vMerge w:val="restart"/>
                  <w:tcBorders>
                    <w:top w:val="none" w:color="000000"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会计金融学院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大数据与会计</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大数据与财务管理</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金融服务与管理</w:t>
                  </w:r>
                </w:p>
              </w:tc>
            </w:tr>
            <w:tr>
              <w:tc>
                <w:tcPr>
                  <w:tcW w:type="dxa" w:w="378"/>
                  <w:vMerge w:val="restart"/>
                  <w:tcBorders>
                    <w:top w:val="single" w:color="333333"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2</w:t>
                  </w:r>
                </w:p>
              </w:tc>
              <w:tc>
                <w:tcPr>
                  <w:tcW w:type="dxa" w:w="1035"/>
                  <w:vMerge w:val="restart"/>
                  <w:tcBorders>
                    <w:top w:val="single" w:color="333333"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管理学院</w:t>
                  </w:r>
                </w:p>
                <w:p>
                  <w:pPr>
                    <w:pStyle w:val="null3"/>
                    <w:ind w:firstLine="360"/>
                    <w:jc w:val="center"/>
                  </w:p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18"/>
                    </w:rPr>
                    <w:t>现代物流管理</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市场营销</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关务与外贸服务</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电子商务</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人力资源管理</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供应链运</w:t>
                  </w:r>
                  <w:r>
                    <w:rPr>
                      <w:rFonts w:ascii="仿宋_GB2312" w:hAnsi="仿宋_GB2312" w:cs="仿宋_GB2312" w:eastAsia="仿宋_GB2312"/>
                      <w:sz w:val="18"/>
                    </w:rPr>
                    <w:t>营</w:t>
                  </w:r>
                </w:p>
              </w:tc>
            </w:tr>
            <w:tr>
              <w:tc>
                <w:tcPr>
                  <w:tcW w:type="dxa" w:w="378"/>
                  <w:vMerge w:val="restart"/>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3</w:t>
                  </w:r>
                </w:p>
              </w:tc>
              <w:tc>
                <w:tcPr>
                  <w:tcW w:type="dxa" w:w="1035"/>
                  <w:vMerge w:val="restart"/>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建筑工程学院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建筑设备工程技术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建筑装饰工程技术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建设工程管理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建筑智能化工程技术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现代物业管理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工程造价</w:t>
                  </w:r>
                </w:p>
              </w:tc>
            </w:tr>
            <w:tr>
              <w:tc>
                <w:tcPr>
                  <w:tcW w:type="dxa" w:w="378"/>
                  <w:vMerge w:val="restart"/>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4</w:t>
                  </w:r>
                </w:p>
              </w:tc>
              <w:tc>
                <w:tcPr>
                  <w:tcW w:type="dxa" w:w="1035"/>
                  <w:vMerge w:val="restart"/>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旅游与酒店管理学院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酒店管理与数字化运营</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空中乘务</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旅游英语</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旅游日语</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会展策划与管理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烹饪工艺与营养</w:t>
                  </w:r>
                </w:p>
              </w:tc>
            </w:tr>
            <w:tr>
              <w:tc>
                <w:tcPr>
                  <w:tcW w:type="dxa" w:w="378"/>
                  <w:vMerge w:val="restart"/>
                  <w:tcBorders>
                    <w:top w:val="none" w:color="000000"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5</w:t>
                  </w:r>
                </w:p>
              </w:tc>
              <w:tc>
                <w:tcPr>
                  <w:tcW w:type="dxa" w:w="1035"/>
                  <w:vMerge w:val="restart"/>
                  <w:tcBorders>
                    <w:top w:val="none" w:color="000000"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信息与</w:t>
                  </w:r>
                  <w:r>
                    <w:rPr>
                      <w:rFonts w:ascii="仿宋_GB2312" w:hAnsi="仿宋_GB2312" w:cs="仿宋_GB2312" w:eastAsia="仿宋_GB2312"/>
                      <w:sz w:val="18"/>
                    </w:rPr>
                    <w:t>未来</w:t>
                  </w:r>
                  <w:r>
                    <w:rPr>
                      <w:rFonts w:ascii="仿宋_GB2312" w:hAnsi="仿宋_GB2312" w:cs="仿宋_GB2312" w:eastAsia="仿宋_GB2312"/>
                      <w:sz w:val="18"/>
                    </w:rPr>
                    <w:t>技术学院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计算机</w:t>
                  </w:r>
                  <w:r>
                    <w:rPr>
                      <w:rFonts w:ascii="仿宋_GB2312" w:hAnsi="仿宋_GB2312" w:cs="仿宋_GB2312" w:eastAsia="仿宋_GB2312"/>
                      <w:sz w:val="18"/>
                    </w:rPr>
                    <w:t>应用技术</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信息安全技术应用</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现代移动通信技术</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网络营销与直播电商</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大数据技术</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虚拟现实技术应用</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人工智能技术应用</w:t>
                  </w:r>
                </w:p>
              </w:tc>
            </w:tr>
            <w:tr>
              <w:tc>
                <w:tcPr>
                  <w:tcW w:type="dxa" w:w="378"/>
                  <w:vMerge w:val="restart"/>
                  <w:tcBorders>
                    <w:top w:val="none" w:color="000000"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6</w:t>
                  </w:r>
                </w:p>
              </w:tc>
              <w:tc>
                <w:tcPr>
                  <w:tcW w:type="dxa" w:w="1035"/>
                  <w:vMerge w:val="restart"/>
                  <w:tcBorders>
                    <w:top w:val="none" w:color="000000"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艺术</w:t>
                  </w:r>
                  <w:r>
                    <w:rPr>
                      <w:rFonts w:ascii="仿宋_GB2312" w:hAnsi="仿宋_GB2312" w:cs="仿宋_GB2312" w:eastAsia="仿宋_GB2312"/>
                      <w:sz w:val="18"/>
                    </w:rPr>
                    <w:t>设计学院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广播影视节目制作</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广告艺术设计</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舞台艺术设计与制作</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环境艺术设计</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数字媒体艺术设计</w:t>
                  </w:r>
                </w:p>
              </w:tc>
            </w:tr>
            <w:tr>
              <w:tc>
                <w:tcPr>
                  <w:tcW w:type="dxa" w:w="378"/>
                  <w:vMerge w:val="restart"/>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7</w:t>
                  </w:r>
                </w:p>
              </w:tc>
              <w:tc>
                <w:tcPr>
                  <w:tcW w:type="dxa" w:w="1035"/>
                  <w:vMerge w:val="restart"/>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智能制造</w:t>
                  </w:r>
                  <w:r>
                    <w:rPr>
                      <w:rFonts w:ascii="仿宋_GB2312" w:hAnsi="仿宋_GB2312" w:cs="仿宋_GB2312" w:eastAsia="仿宋_GB2312"/>
                      <w:sz w:val="18"/>
                    </w:rPr>
                    <w:t>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汽车制造与试验技术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飞机机电</w:t>
                  </w:r>
                  <w:r>
                    <w:rPr>
                      <w:rFonts w:ascii="仿宋_GB2312" w:hAnsi="仿宋_GB2312" w:cs="仿宋_GB2312" w:eastAsia="仿宋_GB2312"/>
                      <w:sz w:val="18"/>
                    </w:rPr>
                    <w:t>设备维修</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新能源汽车技术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汽车检测与维修技术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工业机器人技术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数控技术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机电一体化技术</w:t>
                  </w:r>
                </w:p>
              </w:tc>
            </w:tr>
            <w:tr>
              <w:tc>
                <w:tcPr>
                  <w:tcW w:type="dxa" w:w="378"/>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8</w:t>
                  </w:r>
                </w:p>
              </w:tc>
              <w:tc>
                <w:tcPr>
                  <w:tcW w:type="dxa" w:w="1035"/>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学前</w:t>
                  </w:r>
                  <w:r>
                    <w:rPr>
                      <w:rFonts w:ascii="仿宋_GB2312" w:hAnsi="仿宋_GB2312" w:cs="仿宋_GB2312" w:eastAsia="仿宋_GB2312"/>
                      <w:sz w:val="18"/>
                    </w:rPr>
                    <w:t>师范</w:t>
                  </w:r>
                  <w:r>
                    <w:rPr>
                      <w:rFonts w:ascii="仿宋_GB2312" w:hAnsi="仿宋_GB2312" w:cs="仿宋_GB2312" w:eastAsia="仿宋_GB2312"/>
                      <w:sz w:val="18"/>
                    </w:rPr>
                    <w:t>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学前教育</w:t>
                  </w:r>
                </w:p>
              </w:tc>
            </w:tr>
            <w:tr>
              <w:tc>
                <w:tcPr>
                  <w:tcW w:type="dxa" w:w="378"/>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p>
              </w:tc>
              <w:tc>
                <w:tcPr>
                  <w:tcW w:type="dxa" w:w="1035"/>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18"/>
                    </w:rPr>
                    <w:t>早期教育</w:t>
                  </w:r>
                </w:p>
              </w:tc>
            </w:tr>
            <w:tr>
              <w:tc>
                <w:tcPr>
                  <w:tcW w:type="dxa" w:w="378"/>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9</w:t>
                  </w:r>
                </w:p>
              </w:tc>
              <w:tc>
                <w:tcPr>
                  <w:tcW w:type="dxa" w:w="1035"/>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护理</w:t>
                  </w:r>
                  <w:r>
                    <w:rPr>
                      <w:rFonts w:ascii="仿宋_GB2312" w:hAnsi="仿宋_GB2312" w:cs="仿宋_GB2312" w:eastAsia="仿宋_GB2312"/>
                      <w:sz w:val="18"/>
                    </w:rPr>
                    <w:t>与健康</w:t>
                  </w:r>
                  <w:r>
                    <w:rPr>
                      <w:rFonts w:ascii="仿宋_GB2312" w:hAnsi="仿宋_GB2312" w:cs="仿宋_GB2312" w:eastAsia="仿宋_GB2312"/>
                      <w:sz w:val="18"/>
                    </w:rPr>
                    <w:t>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护理</w:t>
                  </w:r>
                </w:p>
              </w:tc>
            </w:tr>
          </w:tbl>
          <w:p>
            <w:pPr>
              <w:pStyle w:val="null3"/>
              <w:ind w:firstLine="360"/>
              <w:jc w:val="both"/>
            </w:pPr>
            <w:r>
              <w:rPr>
                <w:rFonts w:ascii="仿宋_GB2312" w:hAnsi="仿宋_GB2312" w:cs="仿宋_GB2312" w:eastAsia="仿宋_GB2312"/>
                <w:sz w:val="18"/>
              </w:rPr>
              <w:t>3</w:t>
            </w:r>
            <w:r>
              <w:rPr>
                <w:rFonts w:ascii="仿宋_GB2312" w:hAnsi="仿宋_GB2312" w:cs="仿宋_GB2312" w:eastAsia="仿宋_GB2312"/>
                <w:sz w:val="18"/>
              </w:rPr>
              <w:t>.图书质量要求：要求所供图书必须是国家正规出版社出版的全新正版图书。图书出版质量须符合国家标准、行业标准和新闻出版总署关于图书出版质量的管理规定。同时随书免费提供CNMARC书目数据，并符合样本格式及运行要求（附：中文图书CNMARC著录要求）。</w:t>
            </w:r>
          </w:p>
          <w:p>
            <w:pPr>
              <w:pStyle w:val="null3"/>
              <w:ind w:firstLine="360"/>
              <w:jc w:val="both"/>
            </w:pPr>
            <w:r>
              <w:rPr>
                <w:rFonts w:ascii="仿宋_GB2312" w:hAnsi="仿宋_GB2312" w:cs="仿宋_GB2312" w:eastAsia="仿宋_GB2312"/>
                <w:sz w:val="18"/>
              </w:rPr>
              <w:t>4</w:t>
            </w:r>
            <w:r>
              <w:rPr>
                <w:rFonts w:ascii="仿宋_GB2312" w:hAnsi="仿宋_GB2312" w:cs="仿宋_GB2312" w:eastAsia="仿宋_GB2312"/>
                <w:sz w:val="18"/>
              </w:rPr>
              <w:t>.出版社要求</w:t>
            </w:r>
          </w:p>
          <w:p>
            <w:pPr>
              <w:pStyle w:val="null3"/>
              <w:ind w:firstLine="360"/>
              <w:jc w:val="both"/>
            </w:pPr>
            <w:r>
              <w:rPr>
                <w:rFonts w:ascii="仿宋_GB2312" w:hAnsi="仿宋_GB2312" w:cs="仿宋_GB2312" w:eastAsia="仿宋_GB2312"/>
                <w:sz w:val="18"/>
              </w:rPr>
              <w:t>以下出版社图书为</w:t>
            </w:r>
            <w:r>
              <w:rPr>
                <w:rFonts w:ascii="仿宋_GB2312" w:hAnsi="仿宋_GB2312" w:cs="仿宋_GB2312" w:eastAsia="仿宋_GB2312"/>
                <w:sz w:val="18"/>
              </w:rPr>
              <w:t>202</w:t>
            </w:r>
            <w:r>
              <w:rPr>
                <w:rFonts w:ascii="仿宋_GB2312" w:hAnsi="仿宋_GB2312" w:cs="仿宋_GB2312" w:eastAsia="仿宋_GB2312"/>
                <w:sz w:val="18"/>
              </w:rPr>
              <w:t>5</w:t>
            </w:r>
            <w:r>
              <w:rPr>
                <w:rFonts w:ascii="仿宋_GB2312" w:hAnsi="仿宋_GB2312" w:cs="仿宋_GB2312" w:eastAsia="仿宋_GB2312"/>
                <w:sz w:val="18"/>
              </w:rPr>
              <w:t>年度陕西开放大学图书馆纸质图书采购的重点对象：高等教育出版社、科学出版社、商务印书馆、中华书局、上海三联书店、生活</w:t>
            </w:r>
            <w:r>
              <w:rPr>
                <w:rFonts w:ascii="仿宋_GB2312" w:hAnsi="仿宋_GB2312" w:cs="仿宋_GB2312" w:eastAsia="仿宋_GB2312"/>
                <w:sz w:val="18"/>
              </w:rPr>
              <w:t>·读书·新知三联书店、人民出版社、人民文学出版社、译林出版社</w:t>
            </w:r>
            <w:r>
              <w:rPr>
                <w:rFonts w:ascii="仿宋_GB2312" w:hAnsi="仿宋_GB2312" w:cs="仿宋_GB2312" w:eastAsia="仿宋_GB2312"/>
                <w:sz w:val="18"/>
              </w:rPr>
              <w:t>、</w:t>
            </w:r>
            <w:r>
              <w:rPr>
                <w:rFonts w:ascii="仿宋_GB2312" w:hAnsi="仿宋_GB2312" w:cs="仿宋_GB2312" w:eastAsia="仿宋_GB2312"/>
                <w:sz w:val="18"/>
              </w:rPr>
              <w:t>中国青年出版社、中国经济出版社、经济科学出版社、法律出版社、中国金融出版社、经济管理出版社、立信会计出版社、中国政法大学出版社、科学出版社、中央编译出版社、社会科学文献出版社、中国财政经济出版社、中国社会科学出版社、上海译文出版社、外国文学出版社、中国建筑工业出版社、电子工业出版社、机械工业出版社及北京大学出版社、清华大学出版社、中国人民大学出版社、北京师范大学出版社、复旦</w:t>
            </w:r>
            <w:r>
              <w:rPr>
                <w:rFonts w:ascii="仿宋_GB2312" w:hAnsi="仿宋_GB2312" w:cs="仿宋_GB2312" w:eastAsia="仿宋_GB2312"/>
                <w:sz w:val="18"/>
              </w:rPr>
              <w:t>大学</w:t>
            </w:r>
            <w:r>
              <w:rPr>
                <w:rFonts w:ascii="仿宋_GB2312" w:hAnsi="仿宋_GB2312" w:cs="仿宋_GB2312" w:eastAsia="仿宋_GB2312"/>
                <w:sz w:val="18"/>
              </w:rPr>
              <w:t>出版社、上海财经大学出版社、外语教学与研究出版社、西北大学出版社、陕西师范大学出版社、广西师范大学出版社等大学出版社。供应商可提供与以上出版社合作的</w:t>
            </w:r>
            <w:r>
              <w:rPr>
                <w:rFonts w:ascii="仿宋_GB2312" w:hAnsi="仿宋_GB2312" w:cs="仿宋_GB2312" w:eastAsia="仿宋_GB2312"/>
                <w:sz w:val="18"/>
              </w:rPr>
              <w:t>授权书等证明材料</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供应商应保证以上重点出版社图书品种齐全，年度供货量不低于总数的</w:t>
            </w:r>
            <w:r>
              <w:rPr>
                <w:rFonts w:ascii="仿宋_GB2312" w:hAnsi="仿宋_GB2312" w:cs="仿宋_GB2312" w:eastAsia="仿宋_GB2312"/>
                <w:sz w:val="18"/>
              </w:rPr>
              <w:t>80%，并及时提供相应新书目，应将招标文件所列重点出版社所有书目及出版动态每月一次提供作为参考，书目目录应包括：ISBN号、作者、出版社、出版日期、中图分类号、册套、定价及内容简介等。招标方根据书源情况和出版动态，按实际需求通过供应商订购或现采相关出版社的图书，供应商要保证所订图书到货率不得低于90%。</w:t>
            </w:r>
          </w:p>
          <w:p>
            <w:pPr>
              <w:pStyle w:val="null3"/>
              <w:ind w:firstLine="360"/>
              <w:jc w:val="both"/>
            </w:pPr>
            <w:r>
              <w:rPr>
                <w:rFonts w:ascii="仿宋_GB2312" w:hAnsi="仿宋_GB2312" w:cs="仿宋_GB2312" w:eastAsia="仿宋_GB2312"/>
                <w:sz w:val="18"/>
              </w:rPr>
              <w:t>6</w:t>
            </w:r>
            <w:r>
              <w:rPr>
                <w:rFonts w:ascii="仿宋_GB2312" w:hAnsi="仿宋_GB2312" w:cs="仿宋_GB2312" w:eastAsia="仿宋_GB2312"/>
                <w:sz w:val="18"/>
              </w:rPr>
              <w:t>.采购方法：现场采购和订单采购（包括书商提供及图书馆自行订制的书目）相结合。</w:t>
            </w:r>
          </w:p>
          <w:p>
            <w:pPr>
              <w:pStyle w:val="null3"/>
              <w:ind w:firstLine="360"/>
              <w:jc w:val="both"/>
            </w:pPr>
            <w:r>
              <w:rPr>
                <w:rFonts w:ascii="仿宋_GB2312" w:hAnsi="仿宋_GB2312" w:cs="仿宋_GB2312" w:eastAsia="仿宋_GB2312"/>
                <w:sz w:val="18"/>
              </w:rPr>
              <w:t>7.</w:t>
            </w:r>
            <w:r>
              <w:rPr>
                <w:rFonts w:ascii="仿宋_GB2312" w:hAnsi="仿宋_GB2312" w:cs="仿宋_GB2312" w:eastAsia="仿宋_GB2312"/>
                <w:sz w:val="18"/>
              </w:rPr>
              <w:t>复本量：视学科及专业需求而定，每种图书的复本量一般为</w:t>
            </w:r>
            <w:r>
              <w:rPr>
                <w:rFonts w:ascii="仿宋_GB2312" w:hAnsi="仿宋_GB2312" w:cs="仿宋_GB2312" w:eastAsia="仿宋_GB2312"/>
                <w:sz w:val="18"/>
              </w:rPr>
              <w:t>3</w:t>
            </w:r>
            <w:r>
              <w:rPr>
                <w:rFonts w:ascii="仿宋_GB2312" w:hAnsi="仿宋_GB2312" w:cs="仿宋_GB2312" w:eastAsia="仿宋_GB2312"/>
                <w:sz w:val="18"/>
              </w:rPr>
              <w:t>册。</w:t>
            </w:r>
          </w:p>
          <w:p>
            <w:pPr>
              <w:pStyle w:val="null3"/>
              <w:ind w:firstLine="360"/>
              <w:jc w:val="both"/>
            </w:pPr>
            <w:r>
              <w:rPr>
                <w:rFonts w:ascii="仿宋_GB2312" w:hAnsi="仿宋_GB2312" w:cs="仿宋_GB2312" w:eastAsia="仿宋_GB2312"/>
                <w:sz w:val="18"/>
              </w:rPr>
              <w:t>8.</w:t>
            </w:r>
            <w:r>
              <w:rPr>
                <w:rFonts w:ascii="仿宋_GB2312" w:hAnsi="仿宋_GB2312" w:cs="仿宋_GB2312" w:eastAsia="仿宋_GB2312"/>
                <w:sz w:val="18"/>
              </w:rPr>
              <w:t>服务要求：</w:t>
            </w:r>
          </w:p>
          <w:p>
            <w:pPr>
              <w:pStyle w:val="null3"/>
              <w:numPr>
                <w:ilvl w:val="0"/>
                <w:numId w:val="1"/>
              </w:numPr>
              <w:jc w:val="left"/>
            </w:pPr>
            <w:r>
              <w:rPr>
                <w:rFonts w:ascii="仿宋_GB2312" w:hAnsi="仿宋_GB2312" w:cs="仿宋_GB2312" w:eastAsia="仿宋_GB2312"/>
                <w:sz w:val="18"/>
              </w:rPr>
              <w:t>订单查重</w:t>
            </w:r>
            <w:r>
              <w:rPr>
                <w:rFonts w:ascii="仿宋_GB2312" w:hAnsi="仿宋_GB2312" w:cs="仿宋_GB2312" w:eastAsia="仿宋_GB2312"/>
                <w:sz w:val="18"/>
              </w:rPr>
              <w:t>和单本码洋要求</w:t>
            </w:r>
            <w:r>
              <w:rPr>
                <w:rFonts w:ascii="仿宋_GB2312" w:hAnsi="仿宋_GB2312" w:cs="仿宋_GB2312" w:eastAsia="仿宋_GB2312"/>
                <w:sz w:val="18"/>
              </w:rPr>
              <w:t>：严格对采购方选订或报订的订单书目进行查重，与采购方核实确认，避免重复购书</w:t>
            </w:r>
            <w:r>
              <w:rPr>
                <w:rFonts w:ascii="仿宋_GB2312" w:hAnsi="仿宋_GB2312" w:cs="仿宋_GB2312" w:eastAsia="仿宋_GB2312"/>
                <w:sz w:val="18"/>
              </w:rPr>
              <w:t>，单本码洋不得低于</w:t>
            </w:r>
            <w:r>
              <w:rPr>
                <w:rFonts w:ascii="仿宋_GB2312" w:hAnsi="仿宋_GB2312" w:cs="仿宋_GB2312" w:eastAsia="仿宋_GB2312"/>
                <w:sz w:val="18"/>
              </w:rPr>
              <w:t>35元</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订单订购或现采图书完成后，及时送交需方指定地点。采用防水包装纸打包，每批图书附加盖公章的清单一式两份（一份总清单，一份随包清单）。清单包含信息：书名、</w:t>
            </w:r>
            <w:r>
              <w:rPr>
                <w:rFonts w:ascii="仿宋_GB2312" w:hAnsi="仿宋_GB2312" w:cs="仿宋_GB2312" w:eastAsia="仿宋_GB2312"/>
                <w:sz w:val="18"/>
              </w:rPr>
              <w:t>ISBN号、出版社、价格、复本数量以及当次送书每包册数、种数、码洋，及合计总册数、种数及总码洋等。图书在包中封装顺序与图书清单顺序一致。</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）为所供图书免费提供包括拆包验收、查重著录（见</w:t>
            </w:r>
            <w:r>
              <w:rPr>
                <w:rFonts w:ascii="仿宋_GB2312" w:hAnsi="仿宋_GB2312" w:cs="仿宋_GB2312" w:eastAsia="仿宋_GB2312"/>
                <w:sz w:val="18"/>
              </w:rPr>
              <w:t>中文图书</w:t>
            </w:r>
            <w:r>
              <w:rPr>
                <w:rFonts w:ascii="仿宋_GB2312" w:hAnsi="仿宋_GB2312" w:cs="仿宋_GB2312" w:eastAsia="仿宋_GB2312"/>
                <w:sz w:val="18"/>
              </w:rPr>
              <w:t>CNMARC著录要求</w:t>
            </w:r>
            <w:r>
              <w:rPr>
                <w:rFonts w:ascii="仿宋_GB2312" w:hAnsi="仿宋_GB2312" w:cs="仿宋_GB2312" w:eastAsia="仿宋_GB2312"/>
                <w:sz w:val="18"/>
              </w:rPr>
              <w:t>）、打号盖章、贴书标条码、加磁条</w:t>
            </w:r>
            <w:r>
              <w:rPr>
                <w:rFonts w:ascii="仿宋_GB2312" w:hAnsi="仿宋_GB2312" w:cs="仿宋_GB2312" w:eastAsia="仿宋_GB2312"/>
                <w:sz w:val="18"/>
              </w:rPr>
              <w:t>、打包送库</w:t>
            </w:r>
            <w:r>
              <w:rPr>
                <w:rFonts w:ascii="仿宋_GB2312" w:hAnsi="仿宋_GB2312" w:cs="仿宋_GB2312" w:eastAsia="仿宋_GB2312"/>
                <w:sz w:val="18"/>
              </w:rPr>
              <w:t>等图书加工服务。并免费提供钴基复合</w:t>
            </w:r>
            <w:r>
              <w:rPr>
                <w:rFonts w:ascii="仿宋_GB2312" w:hAnsi="仿宋_GB2312" w:cs="仿宋_GB2312" w:eastAsia="仿宋_GB2312"/>
                <w:sz w:val="18"/>
              </w:rPr>
              <w:t>16cm磁条、条码、书标、覆膜</w:t>
            </w:r>
            <w:r>
              <w:rPr>
                <w:rFonts w:ascii="仿宋_GB2312" w:hAnsi="仿宋_GB2312" w:cs="仿宋_GB2312" w:eastAsia="仿宋_GB2312"/>
                <w:sz w:val="18"/>
              </w:rPr>
              <w:t>、</w:t>
            </w:r>
            <w:r>
              <w:rPr>
                <w:rFonts w:ascii="仿宋_GB2312" w:hAnsi="仿宋_GB2312" w:cs="仿宋_GB2312" w:eastAsia="仿宋_GB2312"/>
                <w:sz w:val="18"/>
              </w:rPr>
              <w:t>打包纸、</w:t>
            </w:r>
            <w:r>
              <w:rPr>
                <w:rFonts w:ascii="仿宋_GB2312" w:hAnsi="仿宋_GB2312" w:cs="仿宋_GB2312" w:eastAsia="仿宋_GB2312"/>
                <w:sz w:val="18"/>
              </w:rPr>
              <w:t>打包</w:t>
            </w:r>
            <w:r>
              <w:rPr>
                <w:rFonts w:ascii="仿宋_GB2312" w:hAnsi="仿宋_GB2312" w:cs="仿宋_GB2312" w:eastAsia="仿宋_GB2312"/>
                <w:sz w:val="18"/>
              </w:rPr>
              <w:t>带</w:t>
            </w:r>
            <w:r>
              <w:rPr>
                <w:rFonts w:ascii="仿宋_GB2312" w:hAnsi="仿宋_GB2312" w:cs="仿宋_GB2312" w:eastAsia="仿宋_GB2312"/>
                <w:sz w:val="18"/>
              </w:rPr>
              <w:t>等所涉及耗材。</w:t>
            </w:r>
          </w:p>
          <w:p>
            <w:pPr>
              <w:pStyle w:val="null3"/>
              <w:jc w:val="left"/>
            </w:pPr>
            <w:r>
              <w:rPr>
                <w:rFonts w:ascii="仿宋_GB2312" w:hAnsi="仿宋_GB2312" w:cs="仿宋_GB2312" w:eastAsia="仿宋_GB2312"/>
                <w:sz w:val="18"/>
                <w:b/>
              </w:rPr>
              <w:t>中文图书</w:t>
            </w:r>
            <w:r>
              <w:rPr>
                <w:rFonts w:ascii="仿宋_GB2312" w:hAnsi="仿宋_GB2312" w:cs="仿宋_GB2312" w:eastAsia="仿宋_GB2312"/>
                <w:sz w:val="18"/>
                <w:b/>
              </w:rPr>
              <w:t>CNMARC著录要求</w:t>
            </w:r>
          </w:p>
          <w:p>
            <w:pPr>
              <w:pStyle w:val="null3"/>
              <w:ind w:firstLine="360"/>
              <w:jc w:val="both"/>
            </w:pPr>
            <w:r>
              <w:rPr>
                <w:rFonts w:ascii="仿宋_GB2312" w:hAnsi="仿宋_GB2312" w:cs="仿宋_GB2312" w:eastAsia="仿宋_GB2312"/>
                <w:sz w:val="18"/>
              </w:rPr>
              <w:t>中文图书著录规则使用《</w:t>
            </w:r>
            <w:r>
              <w:rPr>
                <w:rFonts w:ascii="仿宋_GB2312" w:hAnsi="仿宋_GB2312" w:cs="仿宋_GB2312" w:eastAsia="仿宋_GB2312"/>
                <w:sz w:val="18"/>
              </w:rPr>
              <w:t>CALIS联机合作编目手册（上）》，具体字段规定见表一和表二。</w:t>
            </w:r>
          </w:p>
          <w:p>
            <w:pPr>
              <w:pStyle w:val="null3"/>
              <w:jc w:val="both"/>
            </w:pPr>
            <w:r>
              <w:rPr>
                <w:rFonts w:ascii="仿宋_GB2312" w:hAnsi="仿宋_GB2312" w:cs="仿宋_GB2312" w:eastAsia="仿宋_GB2312"/>
                <w:sz w:val="18"/>
                <w:b/>
              </w:rPr>
              <w:t>表一：</w:t>
            </w:r>
            <w:r>
              <w:rPr>
                <w:rFonts w:ascii="仿宋_GB2312" w:hAnsi="仿宋_GB2312" w:cs="仿宋_GB2312" w:eastAsia="仿宋_GB2312"/>
                <w:sz w:val="18"/>
                <w:b/>
              </w:rPr>
              <w:t>CNMARC的必备字段</w:t>
            </w:r>
          </w:p>
          <w:tbl>
            <w:tblPr>
              <w:tblInd w:type="dxa" w:w="105"/>
              <w:tblBorders>
                <w:top w:val="none" w:color="000000" w:sz="4"/>
                <w:left w:val="none" w:color="000000" w:sz="4"/>
                <w:bottom w:val="none" w:color="000000" w:sz="4"/>
                <w:right w:val="none" w:color="000000" w:sz="4"/>
                <w:insideH w:val="none"/>
                <w:insideV w:val="none"/>
              </w:tblBorders>
            </w:tblPr>
            <w:tblGrid>
              <w:gridCol w:w="331"/>
              <w:gridCol w:w="981"/>
              <w:gridCol w:w="774"/>
              <w:gridCol w:w="460"/>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必备字段</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字段名</w:t>
                  </w:r>
                </w:p>
              </w:tc>
              <w:tc>
                <w:tcPr>
                  <w:tcW w:type="dxa" w:w="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子字段</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备注</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001   </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记录控制号</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005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记录版本标识</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010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国际标准书号</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$a、$b、$d、$z</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一般数据处理</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语种</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$a、$b、$c</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102</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国别</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编码数据：专著性文字资料</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106</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编码数据：文字资料</w:t>
                  </w:r>
                  <w:r>
                    <w:rPr>
                      <w:rFonts w:ascii="仿宋_GB2312" w:hAnsi="仿宋_GB2312" w:cs="仿宋_GB2312" w:eastAsia="仿宋_GB2312"/>
                      <w:sz w:val="18"/>
                    </w:rPr>
                    <w:t>—形态特征</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题名与责任说明项</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$a、$c、$d、$e、$f、$g、$h、$i、$z、$A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版本项</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除第一版外，必备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出版发行项</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$a、$c、$d、$h</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载体形态项</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$a、$i、$c、$d、$e</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丛编项</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有丛书名，必备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附注</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327</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内容附注</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多卷书合编</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丛编连接</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并列正题名</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$a、$e、$z</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517</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其他题名</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606</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普通主题</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$a、$x、$y、$z</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690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《中图法》分类号</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$a、$v</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701  </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人名</w:t>
                  </w:r>
                  <w:r>
                    <w:rPr>
                      <w:rFonts w:ascii="仿宋_GB2312" w:hAnsi="仿宋_GB2312" w:cs="仿宋_GB2312" w:eastAsia="仿宋_GB2312"/>
                      <w:sz w:val="18"/>
                    </w:rPr>
                    <w:t>—等同责任者</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702</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人名</w:t>
                  </w:r>
                  <w:r>
                    <w:rPr>
                      <w:rFonts w:ascii="仿宋_GB2312" w:hAnsi="仿宋_GB2312" w:cs="仿宋_GB2312" w:eastAsia="仿宋_GB2312"/>
                      <w:sz w:val="18"/>
                    </w:rPr>
                    <w:t>—次要责任者</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团体</w:t>
                  </w:r>
                  <w:r>
                    <w:rPr>
                      <w:rFonts w:ascii="仿宋_GB2312" w:hAnsi="仿宋_GB2312" w:cs="仿宋_GB2312" w:eastAsia="仿宋_GB2312"/>
                      <w:sz w:val="18"/>
                    </w:rPr>
                    <w:t>—等同责任者</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712</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团体</w:t>
                  </w:r>
                  <w:r>
                    <w:rPr>
                      <w:rFonts w:ascii="仿宋_GB2312" w:hAnsi="仿宋_GB2312" w:cs="仿宋_GB2312" w:eastAsia="仿宋_GB2312"/>
                      <w:sz w:val="18"/>
                    </w:rPr>
                    <w:t>—次要责任者</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801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记录来源</w:t>
                  </w:r>
                </w:p>
              </w:tc>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$a、$b、$c</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18"/>
                <w:b/>
              </w:rPr>
              <w:t>表二：</w:t>
            </w:r>
            <w:r>
              <w:rPr>
                <w:rFonts w:ascii="仿宋_GB2312" w:hAnsi="仿宋_GB2312" w:cs="仿宋_GB2312" w:eastAsia="仿宋_GB2312"/>
                <w:sz w:val="18"/>
                <w:b/>
              </w:rPr>
              <w:t>CNMARC必备字段的子字段要求</w:t>
            </w:r>
          </w:p>
          <w:tbl>
            <w:tblPr>
              <w:tblInd w:type="dxa" w:w="105"/>
              <w:tblBorders>
                <w:top w:val="none" w:color="000000" w:sz="4"/>
                <w:left w:val="none" w:color="000000" w:sz="4"/>
                <w:bottom w:val="none" w:color="000000" w:sz="4"/>
                <w:right w:val="none" w:color="000000" w:sz="4"/>
                <w:insideH w:val="none"/>
                <w:insideV w:val="none"/>
              </w:tblBorders>
            </w:tblPr>
            <w:tblGrid>
              <w:gridCol w:w="331"/>
              <w:gridCol w:w="981"/>
              <w:gridCol w:w="769"/>
              <w:gridCol w:w="460"/>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必备字段</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子字段名</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对应字段</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备注</w:t>
                  </w:r>
                </w:p>
              </w:tc>
            </w:tr>
            <w:tr>
              <w:tc>
                <w:tcPr>
                  <w:tcW w:type="dxa" w:w="3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$f 第一责任者（个人）</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701$a</w:t>
                  </w:r>
                </w:p>
              </w:tc>
              <w:tc>
                <w:tcPr>
                  <w:tcW w:type="dxa" w:w="4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7XX字段为检索点</w:t>
                  </w:r>
                </w:p>
              </w:tc>
            </w:tr>
            <w:tr>
              <w:tc>
                <w:tcPr>
                  <w:tcW w:type="dxa" w:w="331"/>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$f 第一责任者（团体）</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711$a</w:t>
                  </w:r>
                </w:p>
              </w:tc>
              <w:tc>
                <w:tcPr>
                  <w:tcW w:type="dxa" w:w="460"/>
                  <w:vMerge/>
                  <w:tcBorders>
                    <w:top w:val="none" w:color="000000" w:sz="4"/>
                    <w:left w:val="single" w:color="000000" w:sz="4"/>
                    <w:bottom w:val="single" w:color="000000" w:sz="4"/>
                    <w:right w:val="single" w:color="000000" w:sz="4"/>
                  </w:tcBorders>
                </w:tcPr>
                <w:p/>
              </w:tc>
            </w:tr>
            <w:tr>
              <w:tc>
                <w:tcPr>
                  <w:tcW w:type="dxa" w:w="331"/>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$g其他责任者（个人）</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702$a</w:t>
                  </w:r>
                </w:p>
              </w:tc>
              <w:tc>
                <w:tcPr>
                  <w:tcW w:type="dxa" w:w="460"/>
                  <w:vMerge/>
                  <w:tcBorders>
                    <w:top w:val="none" w:color="000000" w:sz="4"/>
                    <w:left w:val="single" w:color="000000" w:sz="4"/>
                    <w:bottom w:val="single" w:color="000000" w:sz="4"/>
                    <w:right w:val="single" w:color="000000" w:sz="4"/>
                  </w:tcBorders>
                </w:tcPr>
                <w:p/>
              </w:tc>
            </w:tr>
            <w:tr>
              <w:tc>
                <w:tcPr>
                  <w:tcW w:type="dxa" w:w="331"/>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$g其他责任者（团体）</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712$a</w:t>
                  </w:r>
                </w:p>
              </w:tc>
              <w:tc>
                <w:tcPr>
                  <w:tcW w:type="dxa" w:w="460"/>
                  <w:vMerge/>
                  <w:tcBorders>
                    <w:top w:val="none" w:color="000000" w:sz="4"/>
                    <w:left w:val="single" w:color="000000" w:sz="4"/>
                    <w:bottom w:val="single" w:color="000000" w:sz="4"/>
                    <w:right w:val="single" w:color="000000" w:sz="4"/>
                  </w:tcBorders>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410$1</w:t>
                  </w:r>
                </w:p>
              </w:tc>
              <w:tc>
                <w:tcPr>
                  <w:tcW w:type="dxa" w:w="460"/>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18"/>
              </w:rPr>
              <w:t>依据《中图法》（</w:t>
            </w:r>
            <w:r>
              <w:rPr>
                <w:rFonts w:ascii="仿宋_GB2312" w:hAnsi="仿宋_GB2312" w:cs="仿宋_GB2312" w:eastAsia="仿宋_GB2312"/>
                <w:sz w:val="18"/>
              </w:rPr>
              <w:t>5版）分类</w:t>
            </w:r>
          </w:p>
          <w:p>
            <w:pPr>
              <w:pStyle w:val="null3"/>
              <w:ind w:firstLine="360"/>
              <w:jc w:val="both"/>
            </w:pPr>
            <w:r>
              <w:rPr>
                <w:rFonts w:ascii="仿宋_GB2312" w:hAnsi="仿宋_GB2312" w:cs="仿宋_GB2312" w:eastAsia="仿宋_GB2312"/>
                <w:sz w:val="18"/>
              </w:rPr>
              <w:t>9.</w:t>
            </w:r>
            <w:r>
              <w:rPr>
                <w:rFonts w:ascii="仿宋_GB2312" w:hAnsi="仿宋_GB2312" w:cs="仿宋_GB2312" w:eastAsia="仿宋_GB2312"/>
                <w:sz w:val="18"/>
              </w:rPr>
              <w:t>验收和退货</w:t>
            </w:r>
          </w:p>
          <w:p>
            <w:pPr>
              <w:pStyle w:val="null3"/>
              <w:ind w:firstLine="360"/>
              <w:jc w:val="both"/>
            </w:pPr>
            <w:r>
              <w:rPr>
                <w:rFonts w:ascii="仿宋_GB2312" w:hAnsi="仿宋_GB2312" w:cs="仿宋_GB2312" w:eastAsia="仿宋_GB2312"/>
                <w:sz w:val="18"/>
              </w:rPr>
              <w:t>供应商应派专人与采购方严格按照订单进行验收，凡有下列情况之一，采购方有权要求无条件退货：</w:t>
            </w:r>
          </w:p>
          <w:p>
            <w:pPr>
              <w:pStyle w:val="null3"/>
            </w:pPr>
            <w:r>
              <w:rPr>
                <w:rFonts w:ascii="仿宋_GB2312" w:hAnsi="仿宋_GB2312" w:cs="仿宋_GB2312" w:eastAsia="仿宋_GB2312"/>
              </w:rPr>
              <w:t xml:space="preserve">       1.与订单不符、盗版、缺页、污损、错配、印刷质量不符合要求、缺少附件等质量不合格的图书；</w:t>
            </w:r>
          </w:p>
          <w:p>
            <w:pPr>
              <w:pStyle w:val="null3"/>
            </w:pPr>
            <w:r>
              <w:rPr>
                <w:rFonts w:ascii="仿宋_GB2312" w:hAnsi="仿宋_GB2312" w:cs="仿宋_GB2312" w:eastAsia="仿宋_GB2312"/>
              </w:rPr>
              <w:t xml:space="preserve">       2.因供应商提供图书信息不准确、识别困难或错误等导致采购方认为不适合入藏的图书，如：教材类、中小学及少儿图书、开本过大或过小等。</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.其他要求</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1）供应商提供订购书目质量承诺函，承诺内容如下：明确提供可供采购图书书目中一类出版社书目所占比例，并列举所能提供的一类出版社名称，并出具与其合作的相关合同或证明。</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2）供应商为完成本项目组建的工作小组，每个专业人员的情况和人员数应该明确表示：项目组人员的履历表应随投标文件一并提交，主要内容包括学历、经验业绩等。</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3）编目人员资格：供应方到馆加工人员应参加过calis中文图书编目业务培训</w:t>
            </w:r>
            <w:r>
              <w:rPr>
                <w:rFonts w:ascii="仿宋_GB2312" w:hAnsi="仿宋_GB2312" w:cs="仿宋_GB2312" w:eastAsia="仿宋_GB2312"/>
                <w:sz w:val="18"/>
              </w:rPr>
              <w:t>，并能够持证在规定的时间内完成图书加工任务。图书编目数据误差率准许范围不得超过</w:t>
            </w:r>
            <w:r>
              <w:rPr>
                <w:rFonts w:ascii="仿宋_GB2312" w:hAnsi="仿宋_GB2312" w:cs="仿宋_GB2312" w:eastAsia="仿宋_GB2312"/>
                <w:sz w:val="18"/>
              </w:rPr>
              <w:t>2‰。</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4）以上所需的各种证书、证件、证明、执照等若系复印件，须在复印件上加盖投标供应商有效的公章。</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标的名称：综合类图书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rPr>
              <w:t>采购内容及范围：采购2023年1月之后出版发行的正版纸质图书。图书类目为符合我校学科专业的人文社科类、自然科学类图书及综合类图书等共计约2万册。项目分3个合同包，每个合同包拟招供应商1家。</w:t>
            </w:r>
          </w:p>
          <w:p>
            <w:pPr>
              <w:pStyle w:val="null3"/>
            </w:pPr>
            <w:r>
              <w:rPr>
                <w:rFonts w:ascii="仿宋_GB2312" w:hAnsi="仿宋_GB2312" w:cs="仿宋_GB2312" w:eastAsia="仿宋_GB2312"/>
                <w:sz w:val="21"/>
              </w:rPr>
              <w:t xml:space="preserve">         具体为：合同包三，综合类图书，预算金额30万元，约6500册。</w:t>
            </w:r>
          </w:p>
          <w:p>
            <w:pPr>
              <w:pStyle w:val="null3"/>
              <w:ind w:firstLine="360"/>
              <w:jc w:val="both"/>
            </w:pPr>
            <w:r>
              <w:rPr>
                <w:rFonts w:ascii="仿宋_GB2312" w:hAnsi="仿宋_GB2312" w:cs="仿宋_GB2312" w:eastAsia="仿宋_GB2312"/>
                <w:sz w:val="18"/>
              </w:rPr>
              <w:t>相关学科图书订购到馆率不低于</w:t>
            </w:r>
            <w:r>
              <w:rPr>
                <w:rFonts w:ascii="仿宋_GB2312" w:hAnsi="仿宋_GB2312" w:cs="仿宋_GB2312" w:eastAsia="仿宋_GB2312"/>
                <w:sz w:val="18"/>
              </w:rPr>
              <w:t>7</w:t>
            </w:r>
            <w:r>
              <w:rPr>
                <w:rFonts w:ascii="仿宋_GB2312" w:hAnsi="仿宋_GB2312" w:cs="仿宋_GB2312" w:eastAsia="仿宋_GB2312"/>
                <w:sz w:val="18"/>
              </w:rPr>
              <w:t>5</w:t>
            </w:r>
            <w:r>
              <w:rPr>
                <w:rFonts w:ascii="仿宋_GB2312" w:hAnsi="仿宋_GB2312" w:cs="仿宋_GB2312" w:eastAsia="仿宋_GB2312"/>
                <w:sz w:val="18"/>
              </w:rPr>
              <w:t>%（附学校二级学院及相关专业名录）。</w:t>
            </w:r>
          </w:p>
          <w:tbl>
            <w:tblPr>
              <w:tblBorders>
                <w:top w:val="none" w:color="000000" w:sz="4"/>
                <w:left w:val="none" w:color="000000" w:sz="4"/>
                <w:bottom w:val="none" w:color="000000" w:sz="4"/>
                <w:right w:val="none" w:color="000000" w:sz="4"/>
                <w:insideH w:val="none"/>
                <w:insideV w:val="none"/>
              </w:tblBorders>
            </w:tblPr>
            <w:tblGrid>
              <w:gridCol w:w="378"/>
              <w:gridCol w:w="1035"/>
              <w:gridCol w:w="1130"/>
            </w:tblGrid>
            <w:tr>
              <w:tc>
                <w:tcPr>
                  <w:tcW w:type="dxa" w:w="378"/>
                  <w:vMerge w:val="restart"/>
                  <w:tcBorders>
                    <w:top w:val="single" w:color="333333"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序号</w:t>
                  </w:r>
                </w:p>
              </w:tc>
              <w:tc>
                <w:tcPr>
                  <w:tcW w:type="dxa" w:w="1035"/>
                  <w:vMerge w:val="restart"/>
                  <w:tcBorders>
                    <w:top w:val="single" w:color="333333"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学</w:t>
                  </w:r>
                  <w:r>
                    <w:rPr>
                      <w:rFonts w:ascii="仿宋_GB2312" w:hAnsi="仿宋_GB2312" w:cs="仿宋_GB2312" w:eastAsia="仿宋_GB2312"/>
                      <w:sz w:val="18"/>
                    </w:rPr>
                    <w:t xml:space="preserve">  院</w:t>
                  </w:r>
                </w:p>
              </w:tc>
              <w:tc>
                <w:tcPr>
                  <w:tcW w:type="dxa" w:w="1130"/>
                  <w:vMerge w:val="restart"/>
                  <w:tcBorders>
                    <w:top w:val="single" w:color="333333"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专业名称</w:t>
                  </w:r>
                </w:p>
              </w:tc>
            </w:tr>
            <w:tr>
              <w:tc>
                <w:tcPr>
                  <w:tcW w:type="dxa" w:w="378"/>
                  <w:vMerge/>
                  <w:tcBorders>
                    <w:top w:val="single" w:color="333333" w:sz="4"/>
                    <w:left w:val="single" w:color="333333" w:sz="4"/>
                    <w:bottom w:val="single" w:color="333333" w:sz="4"/>
                    <w:right w:val="single" w:color="333333" w:sz="4"/>
                  </w:tcBorders>
                </w:tcPr>
                <w:p/>
              </w:tc>
              <w:tc>
                <w:tcPr>
                  <w:tcW w:type="dxa" w:w="1035"/>
                  <w:vMerge/>
                  <w:tcBorders>
                    <w:top w:val="single" w:color="333333" w:sz="4"/>
                    <w:left w:val="none" w:color="000000" w:sz="4"/>
                    <w:bottom w:val="single" w:color="333333" w:sz="4"/>
                    <w:right w:val="single" w:color="333333" w:sz="4"/>
                  </w:tcBorders>
                </w:tcPr>
                <w:p/>
              </w:tc>
              <w:tc>
                <w:tcPr>
                  <w:tcW w:type="dxa" w:w="1130"/>
                  <w:vMerge/>
                  <w:tcBorders>
                    <w:top w:val="single" w:color="333333" w:sz="4"/>
                    <w:left w:val="none" w:color="000000" w:sz="4"/>
                    <w:bottom w:val="single" w:color="333333" w:sz="4"/>
                    <w:right w:val="single" w:color="333333" w:sz="4"/>
                  </w:tcBorders>
                </w:tcPr>
                <w:p/>
              </w:tc>
            </w:tr>
            <w:tr>
              <w:tc>
                <w:tcPr>
                  <w:tcW w:type="dxa" w:w="378"/>
                  <w:vMerge w:val="restart"/>
                  <w:tcBorders>
                    <w:top w:val="none" w:color="000000"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1</w:t>
                  </w:r>
                </w:p>
              </w:tc>
              <w:tc>
                <w:tcPr>
                  <w:tcW w:type="dxa" w:w="1035"/>
                  <w:vMerge w:val="restart"/>
                  <w:tcBorders>
                    <w:top w:val="none" w:color="000000"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会计金融学院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大数据与会计</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大数据与财务管理</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金融服务与管理</w:t>
                  </w:r>
                </w:p>
              </w:tc>
            </w:tr>
            <w:tr>
              <w:tc>
                <w:tcPr>
                  <w:tcW w:type="dxa" w:w="378"/>
                  <w:vMerge w:val="restart"/>
                  <w:tcBorders>
                    <w:top w:val="single" w:color="333333"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2</w:t>
                  </w:r>
                </w:p>
              </w:tc>
              <w:tc>
                <w:tcPr>
                  <w:tcW w:type="dxa" w:w="1035"/>
                  <w:vMerge w:val="restart"/>
                  <w:tcBorders>
                    <w:top w:val="single" w:color="333333"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管理学院</w:t>
                  </w:r>
                </w:p>
                <w:p>
                  <w:pPr>
                    <w:pStyle w:val="null3"/>
                    <w:ind w:firstLine="360"/>
                    <w:jc w:val="center"/>
                  </w:p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18"/>
                    </w:rPr>
                    <w:t>现代物流管理</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市场营销</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关务与外贸服务</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电子商务</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21"/>
                    </w:rPr>
                    <w:t>人力资源管理</w:t>
                  </w:r>
                </w:p>
              </w:tc>
            </w:tr>
            <w:tr>
              <w:tc>
                <w:tcPr>
                  <w:tcW w:type="dxa" w:w="378"/>
                  <w:vMerge/>
                  <w:tcBorders>
                    <w:top w:val="single" w:color="333333" w:sz="4"/>
                    <w:left w:val="single" w:color="333333" w:sz="4"/>
                    <w:bottom w:val="outset" w:color="000000" w:sz="4"/>
                    <w:right w:val="single" w:color="333333" w:sz="4"/>
                  </w:tcBorders>
                </w:tcPr>
                <w:p/>
              </w:tc>
              <w:tc>
                <w:tcPr>
                  <w:tcW w:type="dxa" w:w="1035"/>
                  <w:vMerge/>
                  <w:tcBorders>
                    <w:top w:val="single" w:color="333333"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供应链运</w:t>
                  </w:r>
                  <w:r>
                    <w:rPr>
                      <w:rFonts w:ascii="仿宋_GB2312" w:hAnsi="仿宋_GB2312" w:cs="仿宋_GB2312" w:eastAsia="仿宋_GB2312"/>
                      <w:sz w:val="18"/>
                    </w:rPr>
                    <w:t>营</w:t>
                  </w:r>
                </w:p>
              </w:tc>
            </w:tr>
            <w:tr>
              <w:tc>
                <w:tcPr>
                  <w:tcW w:type="dxa" w:w="378"/>
                  <w:vMerge w:val="restart"/>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3</w:t>
                  </w:r>
                </w:p>
              </w:tc>
              <w:tc>
                <w:tcPr>
                  <w:tcW w:type="dxa" w:w="1035"/>
                  <w:vMerge w:val="restart"/>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建筑工程学院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建筑设备工程技术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建筑装饰工程技术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建筑工程技术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21"/>
                    </w:rPr>
                    <w:t>建设工程管理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21"/>
                    </w:rPr>
                    <w:t>建筑智能化工程技术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现代物业管理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工程造价</w:t>
                  </w:r>
                </w:p>
              </w:tc>
            </w:tr>
            <w:tr>
              <w:tc>
                <w:tcPr>
                  <w:tcW w:type="dxa" w:w="378"/>
                  <w:vMerge w:val="restart"/>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4</w:t>
                  </w:r>
                </w:p>
              </w:tc>
              <w:tc>
                <w:tcPr>
                  <w:tcW w:type="dxa" w:w="1035"/>
                  <w:vMerge w:val="restart"/>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旅游与酒店管理学院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酒店管理与数字化运营</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空中乘务</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旅游英语</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旅游日语</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会展策划与管理</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烹饪工艺与营养</w:t>
                  </w:r>
                </w:p>
              </w:tc>
            </w:tr>
            <w:tr>
              <w:tc>
                <w:tcPr>
                  <w:tcW w:type="dxa" w:w="378"/>
                  <w:vMerge w:val="restart"/>
                  <w:tcBorders>
                    <w:top w:val="none" w:color="000000"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5</w:t>
                  </w:r>
                </w:p>
              </w:tc>
              <w:tc>
                <w:tcPr>
                  <w:tcW w:type="dxa" w:w="1035"/>
                  <w:vMerge w:val="restart"/>
                  <w:tcBorders>
                    <w:top w:val="none" w:color="000000"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信息与</w:t>
                  </w:r>
                  <w:r>
                    <w:rPr>
                      <w:rFonts w:ascii="仿宋_GB2312" w:hAnsi="仿宋_GB2312" w:cs="仿宋_GB2312" w:eastAsia="仿宋_GB2312"/>
                      <w:sz w:val="18"/>
                    </w:rPr>
                    <w:t>未来</w:t>
                  </w:r>
                  <w:r>
                    <w:rPr>
                      <w:rFonts w:ascii="仿宋_GB2312" w:hAnsi="仿宋_GB2312" w:cs="仿宋_GB2312" w:eastAsia="仿宋_GB2312"/>
                      <w:sz w:val="18"/>
                    </w:rPr>
                    <w:t>技术学院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计算机</w:t>
                  </w:r>
                  <w:r>
                    <w:rPr>
                      <w:rFonts w:ascii="仿宋_GB2312" w:hAnsi="仿宋_GB2312" w:cs="仿宋_GB2312" w:eastAsia="仿宋_GB2312"/>
                      <w:sz w:val="18"/>
                    </w:rPr>
                    <w:t>应用技术</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信息安全技术应用</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现代移动通信技术</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网络营销与直播电商</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大数据技术</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虚拟现实技术应用</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人工智能技术应用</w:t>
                  </w:r>
                </w:p>
              </w:tc>
            </w:tr>
            <w:tr>
              <w:tc>
                <w:tcPr>
                  <w:tcW w:type="dxa" w:w="378"/>
                  <w:vMerge w:val="restart"/>
                  <w:tcBorders>
                    <w:top w:val="none" w:color="000000" w:sz="4"/>
                    <w:left w:val="single" w:color="333333"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6</w:t>
                  </w:r>
                </w:p>
              </w:tc>
              <w:tc>
                <w:tcPr>
                  <w:tcW w:type="dxa" w:w="1035"/>
                  <w:vMerge w:val="restart"/>
                  <w:tcBorders>
                    <w:top w:val="none" w:color="000000" w:sz="4"/>
                    <w:left w:val="none" w:color="000000" w:sz="4"/>
                    <w:bottom w:val="outset" w:color="000000"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艺术</w:t>
                  </w:r>
                  <w:r>
                    <w:rPr>
                      <w:rFonts w:ascii="仿宋_GB2312" w:hAnsi="仿宋_GB2312" w:cs="仿宋_GB2312" w:eastAsia="仿宋_GB2312"/>
                      <w:sz w:val="18"/>
                    </w:rPr>
                    <w:t>设计学院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广播影视节目制作</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广告艺术设计</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舞台艺术设计与制作</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环境艺术设计</w:t>
                  </w:r>
                </w:p>
              </w:tc>
            </w:tr>
            <w:tr>
              <w:tc>
                <w:tcPr>
                  <w:tcW w:type="dxa" w:w="378"/>
                  <w:vMerge/>
                  <w:tcBorders>
                    <w:top w:val="none" w:color="000000" w:sz="4"/>
                    <w:left w:val="single" w:color="333333" w:sz="4"/>
                    <w:bottom w:val="outset" w:color="000000" w:sz="4"/>
                    <w:right w:val="single" w:color="333333" w:sz="4"/>
                  </w:tcBorders>
                </w:tcPr>
                <w:p/>
              </w:tc>
              <w:tc>
                <w:tcPr>
                  <w:tcW w:type="dxa" w:w="1035"/>
                  <w:vMerge/>
                  <w:tcBorders>
                    <w:top w:val="none" w:color="000000" w:sz="4"/>
                    <w:left w:val="none" w:color="000000" w:sz="4"/>
                    <w:bottom w:val="outset" w:color="000000"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数字媒体艺术设计</w:t>
                  </w:r>
                </w:p>
              </w:tc>
            </w:tr>
            <w:tr>
              <w:tc>
                <w:tcPr>
                  <w:tcW w:type="dxa" w:w="378"/>
                  <w:vMerge w:val="restart"/>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7</w:t>
                  </w:r>
                </w:p>
              </w:tc>
              <w:tc>
                <w:tcPr>
                  <w:tcW w:type="dxa" w:w="1035"/>
                  <w:vMerge w:val="restart"/>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智能制造</w:t>
                  </w:r>
                  <w:r>
                    <w:rPr>
                      <w:rFonts w:ascii="仿宋_GB2312" w:hAnsi="仿宋_GB2312" w:cs="仿宋_GB2312" w:eastAsia="仿宋_GB2312"/>
                      <w:sz w:val="18"/>
                    </w:rPr>
                    <w:t>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汽车制造与试验技术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飞机机电</w:t>
                  </w:r>
                  <w:r>
                    <w:rPr>
                      <w:rFonts w:ascii="仿宋_GB2312" w:hAnsi="仿宋_GB2312" w:cs="仿宋_GB2312" w:eastAsia="仿宋_GB2312"/>
                      <w:sz w:val="18"/>
                    </w:rPr>
                    <w:t>设备维修</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新能源汽车技术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汽车检测与维修技术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工业机器人技术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数控技术</w:t>
                  </w:r>
                </w:p>
              </w:tc>
            </w:tr>
            <w:tr>
              <w:tc>
                <w:tcPr>
                  <w:tcW w:type="dxa" w:w="378"/>
                  <w:vMerge/>
                  <w:tcBorders>
                    <w:top w:val="none" w:color="000000" w:sz="4"/>
                    <w:left w:val="single" w:color="333333" w:sz="4"/>
                    <w:bottom w:val="single" w:color="333333" w:sz="4"/>
                    <w:right w:val="single" w:color="333333" w:sz="4"/>
                  </w:tcBorders>
                </w:tcPr>
                <w:p/>
              </w:tc>
              <w:tc>
                <w:tcPr>
                  <w:tcW w:type="dxa" w:w="1035"/>
                  <w:vMerge/>
                  <w:tcBorders>
                    <w:top w:val="none" w:color="000000" w:sz="4"/>
                    <w:left w:val="none" w:color="000000" w:sz="4"/>
                    <w:bottom w:val="single" w:color="333333" w:sz="4"/>
                    <w:right w:val="single" w:color="333333" w:sz="4"/>
                  </w:tcBorders>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机电一体化技术</w:t>
                  </w:r>
                </w:p>
              </w:tc>
            </w:tr>
            <w:tr>
              <w:tc>
                <w:tcPr>
                  <w:tcW w:type="dxa" w:w="378"/>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8</w:t>
                  </w:r>
                </w:p>
              </w:tc>
              <w:tc>
                <w:tcPr>
                  <w:tcW w:type="dxa" w:w="1035"/>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学前</w:t>
                  </w:r>
                  <w:r>
                    <w:rPr>
                      <w:rFonts w:ascii="仿宋_GB2312" w:hAnsi="仿宋_GB2312" w:cs="仿宋_GB2312" w:eastAsia="仿宋_GB2312"/>
                      <w:sz w:val="18"/>
                    </w:rPr>
                    <w:t>师范</w:t>
                  </w:r>
                  <w:r>
                    <w:rPr>
                      <w:rFonts w:ascii="仿宋_GB2312" w:hAnsi="仿宋_GB2312" w:cs="仿宋_GB2312" w:eastAsia="仿宋_GB2312"/>
                      <w:sz w:val="18"/>
                    </w:rPr>
                    <w:t>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学前教育</w:t>
                  </w:r>
                </w:p>
              </w:tc>
            </w:tr>
            <w:tr>
              <w:tc>
                <w:tcPr>
                  <w:tcW w:type="dxa" w:w="378"/>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p>
              </w:tc>
              <w:tc>
                <w:tcPr>
                  <w:tcW w:type="dxa" w:w="1035"/>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jc w:val="center"/>
                  </w:pPr>
                  <w:r>
                    <w:rPr>
                      <w:rFonts w:ascii="仿宋_GB2312" w:hAnsi="仿宋_GB2312" w:cs="仿宋_GB2312" w:eastAsia="仿宋_GB2312"/>
                      <w:sz w:val="18"/>
                    </w:rPr>
                    <w:t>早期教育</w:t>
                  </w:r>
                </w:p>
              </w:tc>
            </w:tr>
            <w:tr>
              <w:tc>
                <w:tcPr>
                  <w:tcW w:type="dxa" w:w="378"/>
                  <w:tcBorders>
                    <w:top w:val="none" w:color="000000" w:sz="4"/>
                    <w:left w:val="single" w:color="333333"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9</w:t>
                  </w:r>
                </w:p>
              </w:tc>
              <w:tc>
                <w:tcPr>
                  <w:tcW w:type="dxa" w:w="1035"/>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护理</w:t>
                  </w:r>
                  <w:r>
                    <w:rPr>
                      <w:rFonts w:ascii="仿宋_GB2312" w:hAnsi="仿宋_GB2312" w:cs="仿宋_GB2312" w:eastAsia="仿宋_GB2312"/>
                      <w:sz w:val="18"/>
                    </w:rPr>
                    <w:t>与健康</w:t>
                  </w:r>
                  <w:r>
                    <w:rPr>
                      <w:rFonts w:ascii="仿宋_GB2312" w:hAnsi="仿宋_GB2312" w:cs="仿宋_GB2312" w:eastAsia="仿宋_GB2312"/>
                      <w:sz w:val="18"/>
                    </w:rPr>
                    <w:t>学院</w:t>
                  </w:r>
                </w:p>
              </w:tc>
              <w:tc>
                <w:tcPr>
                  <w:tcW w:type="dxa" w:w="1130"/>
                  <w:tcBorders>
                    <w:top w:val="none" w:color="000000" w:sz="4"/>
                    <w:left w:val="none" w:color="000000" w:sz="4"/>
                    <w:bottom w:val="single" w:color="333333" w:sz="4"/>
                    <w:right w:val="single" w:color="333333" w:sz="4"/>
                  </w:tcBorders>
                  <w:shd w:fill="FEFEFE"/>
                  <w:tcMar>
                    <w:top w:type="dxa" w:w="0"/>
                    <w:left w:type="dxa" w:w="0"/>
                    <w:bottom w:type="dxa" w:w="0"/>
                    <w:right w:type="dxa" w:w="0"/>
                  </w:tcMar>
                  <w:vAlign w:val="top"/>
                </w:tcPr>
                <w:p>
                  <w:pPr>
                    <w:pStyle w:val="null3"/>
                    <w:ind w:firstLine="360"/>
                    <w:jc w:val="center"/>
                  </w:pPr>
                  <w:r>
                    <w:rPr>
                      <w:rFonts w:ascii="仿宋_GB2312" w:hAnsi="仿宋_GB2312" w:cs="仿宋_GB2312" w:eastAsia="仿宋_GB2312"/>
                      <w:sz w:val="18"/>
                    </w:rPr>
                    <w:t>护理</w:t>
                  </w:r>
                </w:p>
              </w:tc>
            </w:tr>
          </w:tbl>
          <w:p>
            <w:pPr>
              <w:pStyle w:val="null3"/>
              <w:ind w:firstLine="360"/>
              <w:jc w:val="both"/>
            </w:pPr>
            <w:r>
              <w:rPr>
                <w:rFonts w:ascii="仿宋_GB2312" w:hAnsi="仿宋_GB2312" w:cs="仿宋_GB2312" w:eastAsia="仿宋_GB2312"/>
                <w:sz w:val="18"/>
              </w:rPr>
              <w:t>3</w:t>
            </w:r>
            <w:r>
              <w:rPr>
                <w:rFonts w:ascii="仿宋_GB2312" w:hAnsi="仿宋_GB2312" w:cs="仿宋_GB2312" w:eastAsia="仿宋_GB2312"/>
                <w:sz w:val="18"/>
              </w:rPr>
              <w:t>.图书质量要求：要求所供图书必须是国家正规出版社出版的全新正版图书。图书出版质量须符合国家标准、行业标准和新闻出版总署关于图书出版质量的管理规定。同时随书免费提供CNMARC书目数据，并符合样本格式及运行要求（附：中文图书CNMARC著录要求）。</w:t>
            </w:r>
          </w:p>
          <w:p>
            <w:pPr>
              <w:pStyle w:val="null3"/>
              <w:ind w:firstLine="360"/>
              <w:jc w:val="both"/>
            </w:pPr>
            <w:r>
              <w:rPr>
                <w:rFonts w:ascii="仿宋_GB2312" w:hAnsi="仿宋_GB2312" w:cs="仿宋_GB2312" w:eastAsia="仿宋_GB2312"/>
                <w:sz w:val="18"/>
              </w:rPr>
              <w:t>4</w:t>
            </w:r>
            <w:r>
              <w:rPr>
                <w:rFonts w:ascii="仿宋_GB2312" w:hAnsi="仿宋_GB2312" w:cs="仿宋_GB2312" w:eastAsia="仿宋_GB2312"/>
                <w:sz w:val="18"/>
              </w:rPr>
              <w:t>.出版社要求</w:t>
            </w:r>
          </w:p>
          <w:p>
            <w:pPr>
              <w:pStyle w:val="null3"/>
              <w:ind w:firstLine="360"/>
              <w:jc w:val="both"/>
            </w:pPr>
            <w:r>
              <w:rPr>
                <w:rFonts w:ascii="仿宋_GB2312" w:hAnsi="仿宋_GB2312" w:cs="仿宋_GB2312" w:eastAsia="仿宋_GB2312"/>
                <w:sz w:val="18"/>
              </w:rPr>
              <w:t>以下出版社图书为</w:t>
            </w:r>
            <w:r>
              <w:rPr>
                <w:rFonts w:ascii="仿宋_GB2312" w:hAnsi="仿宋_GB2312" w:cs="仿宋_GB2312" w:eastAsia="仿宋_GB2312"/>
                <w:sz w:val="18"/>
              </w:rPr>
              <w:t>202</w:t>
            </w:r>
            <w:r>
              <w:rPr>
                <w:rFonts w:ascii="仿宋_GB2312" w:hAnsi="仿宋_GB2312" w:cs="仿宋_GB2312" w:eastAsia="仿宋_GB2312"/>
                <w:sz w:val="18"/>
              </w:rPr>
              <w:t>5</w:t>
            </w:r>
            <w:r>
              <w:rPr>
                <w:rFonts w:ascii="仿宋_GB2312" w:hAnsi="仿宋_GB2312" w:cs="仿宋_GB2312" w:eastAsia="仿宋_GB2312"/>
                <w:sz w:val="18"/>
              </w:rPr>
              <w:t>年度陕西开放大学图书馆纸质图书采购的重点对象：高等教育出版社、科学出版社、商务印书馆、中华书局、上海三联书店、生活</w:t>
            </w:r>
            <w:r>
              <w:rPr>
                <w:rFonts w:ascii="仿宋_GB2312" w:hAnsi="仿宋_GB2312" w:cs="仿宋_GB2312" w:eastAsia="仿宋_GB2312"/>
                <w:sz w:val="18"/>
              </w:rPr>
              <w:t>·读书·新知三联书店、人民出版社、人民文学出版社、译林出版社</w:t>
            </w:r>
            <w:r>
              <w:rPr>
                <w:rFonts w:ascii="仿宋_GB2312" w:hAnsi="仿宋_GB2312" w:cs="仿宋_GB2312" w:eastAsia="仿宋_GB2312"/>
                <w:sz w:val="18"/>
              </w:rPr>
              <w:t>、</w:t>
            </w:r>
            <w:r>
              <w:rPr>
                <w:rFonts w:ascii="仿宋_GB2312" w:hAnsi="仿宋_GB2312" w:cs="仿宋_GB2312" w:eastAsia="仿宋_GB2312"/>
                <w:sz w:val="18"/>
              </w:rPr>
              <w:t>中国青年出版社、中国经济出版社、经济科学出版社、法律出版社、中国金融出版社、经济管理出版社、立信会计出版社、中国政法大学出版社、科学出版社、中央编译出版社、社会科学文献出版社、中国财政经济出版社、中国社会科学出版社、上海译文出版社、外国文学出版社、中国建筑工业出版社、电子工业出版社、机械工业出版社及北京大学出版社、清华大学出版社、中国人民大学出版社、北京师范大学出版社、复旦</w:t>
            </w:r>
            <w:r>
              <w:rPr>
                <w:rFonts w:ascii="仿宋_GB2312" w:hAnsi="仿宋_GB2312" w:cs="仿宋_GB2312" w:eastAsia="仿宋_GB2312"/>
                <w:sz w:val="18"/>
              </w:rPr>
              <w:t>大学</w:t>
            </w:r>
            <w:r>
              <w:rPr>
                <w:rFonts w:ascii="仿宋_GB2312" w:hAnsi="仿宋_GB2312" w:cs="仿宋_GB2312" w:eastAsia="仿宋_GB2312"/>
                <w:sz w:val="18"/>
              </w:rPr>
              <w:t>出版社、上海财经大学出版社、外语教学与研究出版社、西北大学出版社、陕西师范大学出版社、广西师范大学出版社等大学出版社。供应商可提供与以上出版社合作的</w:t>
            </w:r>
            <w:r>
              <w:rPr>
                <w:rFonts w:ascii="仿宋_GB2312" w:hAnsi="仿宋_GB2312" w:cs="仿宋_GB2312" w:eastAsia="仿宋_GB2312"/>
                <w:sz w:val="18"/>
              </w:rPr>
              <w:t>授权书等证明材料</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供应商应保证以上重点出版社图书品种齐全，年度供货量不低于总数的</w:t>
            </w:r>
            <w:r>
              <w:rPr>
                <w:rFonts w:ascii="仿宋_GB2312" w:hAnsi="仿宋_GB2312" w:cs="仿宋_GB2312" w:eastAsia="仿宋_GB2312"/>
                <w:sz w:val="18"/>
              </w:rPr>
              <w:t>80%，并及时提供相应新书目，应将招标文件所列重点出版社所有书目及出版动态每月一次提供作为参考，书目目录应包括：ISBN号、作者、出版社、出版日期、中图分类号、册套、定价及内容简介等。招标方根据书源情况和出版动态，按实际需求通过供应商订购或现采相关出版社的图书，供应商要保证所订图书到货率不得低于90%。</w:t>
            </w:r>
          </w:p>
          <w:p>
            <w:pPr>
              <w:pStyle w:val="null3"/>
              <w:ind w:firstLine="360"/>
              <w:jc w:val="both"/>
            </w:pPr>
            <w:r>
              <w:rPr>
                <w:rFonts w:ascii="仿宋_GB2312" w:hAnsi="仿宋_GB2312" w:cs="仿宋_GB2312" w:eastAsia="仿宋_GB2312"/>
                <w:sz w:val="18"/>
              </w:rPr>
              <w:t>6</w:t>
            </w:r>
            <w:r>
              <w:rPr>
                <w:rFonts w:ascii="仿宋_GB2312" w:hAnsi="仿宋_GB2312" w:cs="仿宋_GB2312" w:eastAsia="仿宋_GB2312"/>
                <w:sz w:val="18"/>
              </w:rPr>
              <w:t>.采购方法：现场采购和订单采购（包括书商提供及图书馆自行订制的书目）相结合。</w:t>
            </w:r>
          </w:p>
          <w:p>
            <w:pPr>
              <w:pStyle w:val="null3"/>
              <w:ind w:firstLine="360"/>
              <w:jc w:val="both"/>
            </w:pPr>
            <w:r>
              <w:rPr>
                <w:rFonts w:ascii="仿宋_GB2312" w:hAnsi="仿宋_GB2312" w:cs="仿宋_GB2312" w:eastAsia="仿宋_GB2312"/>
                <w:sz w:val="18"/>
              </w:rPr>
              <w:t>7.</w:t>
            </w:r>
            <w:r>
              <w:rPr>
                <w:rFonts w:ascii="仿宋_GB2312" w:hAnsi="仿宋_GB2312" w:cs="仿宋_GB2312" w:eastAsia="仿宋_GB2312"/>
                <w:sz w:val="18"/>
              </w:rPr>
              <w:t>复本量：视学科及专业需求而定，每种图书的复本量一般为</w:t>
            </w:r>
            <w:r>
              <w:rPr>
                <w:rFonts w:ascii="仿宋_GB2312" w:hAnsi="仿宋_GB2312" w:cs="仿宋_GB2312" w:eastAsia="仿宋_GB2312"/>
                <w:sz w:val="18"/>
              </w:rPr>
              <w:t>3</w:t>
            </w:r>
            <w:r>
              <w:rPr>
                <w:rFonts w:ascii="仿宋_GB2312" w:hAnsi="仿宋_GB2312" w:cs="仿宋_GB2312" w:eastAsia="仿宋_GB2312"/>
                <w:sz w:val="18"/>
              </w:rPr>
              <w:t>册。</w:t>
            </w:r>
          </w:p>
          <w:p>
            <w:pPr>
              <w:pStyle w:val="null3"/>
              <w:ind w:firstLine="360"/>
              <w:jc w:val="both"/>
            </w:pPr>
            <w:r>
              <w:rPr>
                <w:rFonts w:ascii="仿宋_GB2312" w:hAnsi="仿宋_GB2312" w:cs="仿宋_GB2312" w:eastAsia="仿宋_GB2312"/>
                <w:sz w:val="18"/>
              </w:rPr>
              <w:t>8.</w:t>
            </w:r>
            <w:r>
              <w:rPr>
                <w:rFonts w:ascii="仿宋_GB2312" w:hAnsi="仿宋_GB2312" w:cs="仿宋_GB2312" w:eastAsia="仿宋_GB2312"/>
                <w:sz w:val="18"/>
              </w:rPr>
              <w:t>服务要求：</w:t>
            </w:r>
          </w:p>
          <w:p>
            <w:pPr>
              <w:pStyle w:val="null3"/>
              <w:numPr>
                <w:ilvl w:val="0"/>
                <w:numId w:val="1"/>
              </w:numPr>
              <w:jc w:val="left"/>
            </w:pPr>
            <w:r>
              <w:rPr>
                <w:rFonts w:ascii="仿宋_GB2312" w:hAnsi="仿宋_GB2312" w:cs="仿宋_GB2312" w:eastAsia="仿宋_GB2312"/>
                <w:sz w:val="18"/>
              </w:rPr>
              <w:t>订单查重</w:t>
            </w:r>
            <w:r>
              <w:rPr>
                <w:rFonts w:ascii="仿宋_GB2312" w:hAnsi="仿宋_GB2312" w:cs="仿宋_GB2312" w:eastAsia="仿宋_GB2312"/>
                <w:sz w:val="18"/>
              </w:rPr>
              <w:t>和单本码洋要求</w:t>
            </w:r>
            <w:r>
              <w:rPr>
                <w:rFonts w:ascii="仿宋_GB2312" w:hAnsi="仿宋_GB2312" w:cs="仿宋_GB2312" w:eastAsia="仿宋_GB2312"/>
                <w:sz w:val="18"/>
              </w:rPr>
              <w:t>：严格对采购方选订或报订的订单书目进行查重，与采购方核实确认，避免重复购书</w:t>
            </w:r>
            <w:r>
              <w:rPr>
                <w:rFonts w:ascii="仿宋_GB2312" w:hAnsi="仿宋_GB2312" w:cs="仿宋_GB2312" w:eastAsia="仿宋_GB2312"/>
                <w:sz w:val="18"/>
              </w:rPr>
              <w:t>，单本码洋不得低于</w:t>
            </w:r>
            <w:r>
              <w:rPr>
                <w:rFonts w:ascii="仿宋_GB2312" w:hAnsi="仿宋_GB2312" w:cs="仿宋_GB2312" w:eastAsia="仿宋_GB2312"/>
                <w:sz w:val="18"/>
              </w:rPr>
              <w:t>35元</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订单订购或现采图书完成后，及时送交需方指定地点。采用防水包装纸打包，每批图书附加盖公章的清单一式两份（一份总清单，一份随包清单）。清单包含信息：书名、</w:t>
            </w:r>
            <w:r>
              <w:rPr>
                <w:rFonts w:ascii="仿宋_GB2312" w:hAnsi="仿宋_GB2312" w:cs="仿宋_GB2312" w:eastAsia="仿宋_GB2312"/>
                <w:sz w:val="18"/>
              </w:rPr>
              <w:t>ISBN号、出版社、价格、复本数量以及当次送书每包册数、种数、码洋，及合计总册数、种数及总码洋等。图书在包中封装顺序与图书清单顺序一致。</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）为所供图书免费提供包括拆包验收、查重著录（见</w:t>
            </w:r>
            <w:r>
              <w:rPr>
                <w:rFonts w:ascii="仿宋_GB2312" w:hAnsi="仿宋_GB2312" w:cs="仿宋_GB2312" w:eastAsia="仿宋_GB2312"/>
                <w:sz w:val="18"/>
              </w:rPr>
              <w:t>中文图书</w:t>
            </w:r>
            <w:r>
              <w:rPr>
                <w:rFonts w:ascii="仿宋_GB2312" w:hAnsi="仿宋_GB2312" w:cs="仿宋_GB2312" w:eastAsia="仿宋_GB2312"/>
                <w:sz w:val="18"/>
              </w:rPr>
              <w:t>CNMARC著录要求</w:t>
            </w:r>
            <w:r>
              <w:rPr>
                <w:rFonts w:ascii="仿宋_GB2312" w:hAnsi="仿宋_GB2312" w:cs="仿宋_GB2312" w:eastAsia="仿宋_GB2312"/>
                <w:sz w:val="18"/>
              </w:rPr>
              <w:t>）、打号盖章、贴书标条码、加磁条</w:t>
            </w:r>
            <w:r>
              <w:rPr>
                <w:rFonts w:ascii="仿宋_GB2312" w:hAnsi="仿宋_GB2312" w:cs="仿宋_GB2312" w:eastAsia="仿宋_GB2312"/>
                <w:sz w:val="18"/>
              </w:rPr>
              <w:t>、打包送库</w:t>
            </w:r>
            <w:r>
              <w:rPr>
                <w:rFonts w:ascii="仿宋_GB2312" w:hAnsi="仿宋_GB2312" w:cs="仿宋_GB2312" w:eastAsia="仿宋_GB2312"/>
                <w:sz w:val="18"/>
              </w:rPr>
              <w:t>等图书加工服务。并免费提供钴基复合</w:t>
            </w:r>
            <w:r>
              <w:rPr>
                <w:rFonts w:ascii="仿宋_GB2312" w:hAnsi="仿宋_GB2312" w:cs="仿宋_GB2312" w:eastAsia="仿宋_GB2312"/>
                <w:sz w:val="18"/>
              </w:rPr>
              <w:t>16cm磁条、条码、书标、覆膜</w:t>
            </w:r>
            <w:r>
              <w:rPr>
                <w:rFonts w:ascii="仿宋_GB2312" w:hAnsi="仿宋_GB2312" w:cs="仿宋_GB2312" w:eastAsia="仿宋_GB2312"/>
                <w:sz w:val="18"/>
              </w:rPr>
              <w:t>、</w:t>
            </w:r>
            <w:r>
              <w:rPr>
                <w:rFonts w:ascii="仿宋_GB2312" w:hAnsi="仿宋_GB2312" w:cs="仿宋_GB2312" w:eastAsia="仿宋_GB2312"/>
                <w:sz w:val="18"/>
              </w:rPr>
              <w:t>打包纸、</w:t>
            </w:r>
            <w:r>
              <w:rPr>
                <w:rFonts w:ascii="仿宋_GB2312" w:hAnsi="仿宋_GB2312" w:cs="仿宋_GB2312" w:eastAsia="仿宋_GB2312"/>
                <w:sz w:val="18"/>
              </w:rPr>
              <w:t>打包</w:t>
            </w:r>
            <w:r>
              <w:rPr>
                <w:rFonts w:ascii="仿宋_GB2312" w:hAnsi="仿宋_GB2312" w:cs="仿宋_GB2312" w:eastAsia="仿宋_GB2312"/>
                <w:sz w:val="18"/>
              </w:rPr>
              <w:t>带</w:t>
            </w:r>
            <w:r>
              <w:rPr>
                <w:rFonts w:ascii="仿宋_GB2312" w:hAnsi="仿宋_GB2312" w:cs="仿宋_GB2312" w:eastAsia="仿宋_GB2312"/>
                <w:sz w:val="18"/>
              </w:rPr>
              <w:t>等所涉及耗材。</w:t>
            </w:r>
          </w:p>
          <w:p>
            <w:pPr>
              <w:pStyle w:val="null3"/>
              <w:jc w:val="left"/>
            </w:pPr>
            <w:r>
              <w:rPr>
                <w:rFonts w:ascii="仿宋_GB2312" w:hAnsi="仿宋_GB2312" w:cs="仿宋_GB2312" w:eastAsia="仿宋_GB2312"/>
                <w:sz w:val="18"/>
                <w:b/>
              </w:rPr>
              <w:t>中文图书</w:t>
            </w:r>
            <w:r>
              <w:rPr>
                <w:rFonts w:ascii="仿宋_GB2312" w:hAnsi="仿宋_GB2312" w:cs="仿宋_GB2312" w:eastAsia="仿宋_GB2312"/>
                <w:sz w:val="18"/>
                <w:b/>
              </w:rPr>
              <w:t>CNMARC著录要求</w:t>
            </w:r>
          </w:p>
          <w:p>
            <w:pPr>
              <w:pStyle w:val="null3"/>
              <w:ind w:firstLine="360"/>
              <w:jc w:val="both"/>
            </w:pPr>
            <w:r>
              <w:rPr>
                <w:rFonts w:ascii="仿宋_GB2312" w:hAnsi="仿宋_GB2312" w:cs="仿宋_GB2312" w:eastAsia="仿宋_GB2312"/>
                <w:sz w:val="18"/>
              </w:rPr>
              <w:t>中文图书著录规则使用《</w:t>
            </w:r>
            <w:r>
              <w:rPr>
                <w:rFonts w:ascii="仿宋_GB2312" w:hAnsi="仿宋_GB2312" w:cs="仿宋_GB2312" w:eastAsia="仿宋_GB2312"/>
                <w:sz w:val="18"/>
              </w:rPr>
              <w:t>CALIS联机合作编目手册（上）》，具体字段规定见表一和表二。</w:t>
            </w:r>
          </w:p>
          <w:p>
            <w:pPr>
              <w:pStyle w:val="null3"/>
              <w:jc w:val="both"/>
            </w:pPr>
            <w:r>
              <w:rPr>
                <w:rFonts w:ascii="仿宋_GB2312" w:hAnsi="仿宋_GB2312" w:cs="仿宋_GB2312" w:eastAsia="仿宋_GB2312"/>
                <w:sz w:val="18"/>
                <w:b/>
              </w:rPr>
              <w:t>表一：</w:t>
            </w:r>
            <w:r>
              <w:rPr>
                <w:rFonts w:ascii="仿宋_GB2312" w:hAnsi="仿宋_GB2312" w:cs="仿宋_GB2312" w:eastAsia="仿宋_GB2312"/>
                <w:sz w:val="18"/>
                <w:b/>
              </w:rPr>
              <w:t>CNMARC的必备字段</w:t>
            </w:r>
          </w:p>
          <w:tbl>
            <w:tblPr>
              <w:tblInd w:type="dxa" w:w="105"/>
              <w:tblBorders>
                <w:top w:val="none" w:color="000000" w:sz="4"/>
                <w:left w:val="none" w:color="000000" w:sz="4"/>
                <w:bottom w:val="none" w:color="000000" w:sz="4"/>
                <w:right w:val="none" w:color="000000" w:sz="4"/>
                <w:insideH w:val="none"/>
                <w:insideV w:val="none"/>
              </w:tblBorders>
            </w:tblPr>
            <w:tblGrid>
              <w:gridCol w:w="331"/>
              <w:gridCol w:w="981"/>
              <w:gridCol w:w="483"/>
              <w:gridCol w:w="751"/>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必备字段</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字段名</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子字段</w:t>
                  </w:r>
                </w:p>
              </w:tc>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备注</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001   </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记录控制号</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005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记录版本标识</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010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国际标准书号</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$a、$b、$d、$z</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一般数据处理</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语种</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$a、$b、$c</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102</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国别</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编码数据：专著性文字资料</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106</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编码数据：文字资料</w:t>
                  </w:r>
                  <w:r>
                    <w:rPr>
                      <w:rFonts w:ascii="仿宋_GB2312" w:hAnsi="仿宋_GB2312" w:cs="仿宋_GB2312" w:eastAsia="仿宋_GB2312"/>
                      <w:sz w:val="18"/>
                    </w:rPr>
                    <w:t>—形态特征</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题名与责任说明项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$a、$c、$d、$e、$f、$g、$h、$i、$z、$A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版本项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除第一版外，必备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出版发行项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$a、$c、$d、$h</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载体形态项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$a、$i、$c、$d、$e</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丛编项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有丛书名，必备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附注</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327</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内容附注</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多卷书合编</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丛编连接</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510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并列正题名</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$a、$e、$z</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517</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其他题名</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606</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普通主题</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$a、$x、$y、$z</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690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《中图法》分类号</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$a、$v</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701  </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人名</w:t>
                  </w:r>
                  <w:r>
                    <w:rPr>
                      <w:rFonts w:ascii="仿宋_GB2312" w:hAnsi="仿宋_GB2312" w:cs="仿宋_GB2312" w:eastAsia="仿宋_GB2312"/>
                      <w:sz w:val="18"/>
                    </w:rPr>
                    <w:t>—等同责任者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702</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人名</w:t>
                  </w:r>
                  <w:r>
                    <w:rPr>
                      <w:rFonts w:ascii="仿宋_GB2312" w:hAnsi="仿宋_GB2312" w:cs="仿宋_GB2312" w:eastAsia="仿宋_GB2312"/>
                      <w:sz w:val="18"/>
                    </w:rPr>
                    <w:t>—次要责任者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团体</w:t>
                  </w:r>
                  <w:r>
                    <w:rPr>
                      <w:rFonts w:ascii="仿宋_GB2312" w:hAnsi="仿宋_GB2312" w:cs="仿宋_GB2312" w:eastAsia="仿宋_GB2312"/>
                      <w:sz w:val="18"/>
                    </w:rPr>
                    <w:t>—等同责任者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712</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团体</w:t>
                  </w:r>
                  <w:r>
                    <w:rPr>
                      <w:rFonts w:ascii="仿宋_GB2312" w:hAnsi="仿宋_GB2312" w:cs="仿宋_GB2312" w:eastAsia="仿宋_GB2312"/>
                      <w:sz w:val="18"/>
                    </w:rPr>
                    <w:t>—次要责任者</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$a、$b、$f、$g、$4、$A</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有则必备</w:t>
                  </w: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801</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记录来源</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$a、$b、$c</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18"/>
                <w:b/>
              </w:rPr>
              <w:t>表二：</w:t>
            </w:r>
            <w:r>
              <w:rPr>
                <w:rFonts w:ascii="仿宋_GB2312" w:hAnsi="仿宋_GB2312" w:cs="仿宋_GB2312" w:eastAsia="仿宋_GB2312"/>
                <w:sz w:val="18"/>
                <w:b/>
              </w:rPr>
              <w:t>CNMARC必备字段的子字段要求</w:t>
            </w:r>
          </w:p>
          <w:tbl>
            <w:tblPr>
              <w:tblInd w:type="dxa" w:w="105"/>
              <w:tblBorders>
                <w:top w:val="none" w:color="000000" w:sz="4"/>
                <w:left w:val="none" w:color="000000" w:sz="4"/>
                <w:bottom w:val="none" w:color="000000" w:sz="4"/>
                <w:right w:val="none" w:color="000000" w:sz="4"/>
                <w:insideH w:val="none"/>
                <w:insideV w:val="none"/>
              </w:tblBorders>
            </w:tblPr>
            <w:tblGrid>
              <w:gridCol w:w="331"/>
              <w:gridCol w:w="981"/>
              <w:gridCol w:w="506"/>
              <w:gridCol w:w="723"/>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必备字段</w:t>
                  </w:r>
                </w:p>
              </w:tc>
              <w:tc>
                <w:tcPr>
                  <w:tcW w:type="dxa" w:w="9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子字段名</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对应字段</w:t>
                  </w:r>
                </w:p>
              </w:tc>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备注</w:t>
                  </w:r>
                </w:p>
              </w:tc>
            </w:tr>
            <w:tr>
              <w:tc>
                <w:tcPr>
                  <w:tcW w:type="dxa" w:w="3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$f 第一责任者（个人）</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701$a</w:t>
                  </w:r>
                </w:p>
              </w:tc>
              <w:tc>
                <w:tcPr>
                  <w:tcW w:type="dxa" w:w="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7XX字段为检索点</w:t>
                  </w:r>
                </w:p>
              </w:tc>
            </w:tr>
            <w:tr>
              <w:tc>
                <w:tcPr>
                  <w:tcW w:type="dxa" w:w="331"/>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$f 第一责任者（团体）</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711$a</w:t>
                  </w:r>
                </w:p>
              </w:tc>
              <w:tc>
                <w:tcPr>
                  <w:tcW w:type="dxa" w:w="723"/>
                  <w:vMerge/>
                  <w:tcBorders>
                    <w:top w:val="none" w:color="000000" w:sz="4"/>
                    <w:left w:val="single" w:color="000000" w:sz="4"/>
                    <w:bottom w:val="single" w:color="000000" w:sz="4"/>
                    <w:right w:val="single" w:color="000000" w:sz="4"/>
                  </w:tcBorders>
                </w:tcPr>
                <w:p/>
              </w:tc>
            </w:tr>
            <w:tr>
              <w:tc>
                <w:tcPr>
                  <w:tcW w:type="dxa" w:w="331"/>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$g其他责任者（个人）</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702$a</w:t>
                  </w:r>
                </w:p>
              </w:tc>
              <w:tc>
                <w:tcPr>
                  <w:tcW w:type="dxa" w:w="723"/>
                  <w:vMerge/>
                  <w:tcBorders>
                    <w:top w:val="none" w:color="000000" w:sz="4"/>
                    <w:left w:val="single" w:color="000000" w:sz="4"/>
                    <w:bottom w:val="single" w:color="000000" w:sz="4"/>
                    <w:right w:val="single" w:color="000000" w:sz="4"/>
                  </w:tcBorders>
                </w:tcPr>
                <w:p/>
              </w:tc>
            </w:tr>
            <w:tr>
              <w:tc>
                <w:tcPr>
                  <w:tcW w:type="dxa" w:w="331"/>
                  <w:vMerge/>
                  <w:tcBorders>
                    <w:top w:val="none" w:color="000000" w:sz="4"/>
                    <w:left w:val="single" w:color="000000" w:sz="4"/>
                    <w:bottom w:val="single" w:color="000000" w:sz="4"/>
                    <w:right w:val="single" w:color="000000" w:sz="4"/>
                  </w:tcBorders>
                </w:tcP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$g其他责任者（团体）</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712$a</w:t>
                  </w:r>
                </w:p>
              </w:tc>
              <w:tc>
                <w:tcPr>
                  <w:tcW w:type="dxa" w:w="723"/>
                  <w:vMerge/>
                  <w:tcBorders>
                    <w:top w:val="none" w:color="000000" w:sz="4"/>
                    <w:left w:val="single" w:color="000000" w:sz="4"/>
                    <w:bottom w:val="single" w:color="000000" w:sz="4"/>
                    <w:right w:val="single" w:color="000000" w:sz="4"/>
                  </w:tcBorders>
                </w:tcPr>
                <w:p/>
              </w:tc>
            </w:tr>
            <w:tr>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225</w:t>
                  </w:r>
                </w:p>
              </w:tc>
              <w:tc>
                <w:tcPr>
                  <w:tcW w:type="dxa" w:w="9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410$1</w:t>
                  </w:r>
                </w:p>
              </w:tc>
              <w:tc>
                <w:tcPr>
                  <w:tcW w:type="dxa" w:w="723"/>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18"/>
              </w:rPr>
              <w:t>依据《中图法》（</w:t>
            </w:r>
            <w:r>
              <w:rPr>
                <w:rFonts w:ascii="仿宋_GB2312" w:hAnsi="仿宋_GB2312" w:cs="仿宋_GB2312" w:eastAsia="仿宋_GB2312"/>
                <w:sz w:val="18"/>
              </w:rPr>
              <w:t>5版）分类</w:t>
            </w:r>
          </w:p>
          <w:p>
            <w:pPr>
              <w:pStyle w:val="null3"/>
              <w:ind w:firstLine="360"/>
              <w:jc w:val="both"/>
            </w:pPr>
            <w:r>
              <w:rPr>
                <w:rFonts w:ascii="仿宋_GB2312" w:hAnsi="仿宋_GB2312" w:cs="仿宋_GB2312" w:eastAsia="仿宋_GB2312"/>
                <w:sz w:val="18"/>
              </w:rPr>
              <w:t>9.</w:t>
            </w:r>
            <w:r>
              <w:rPr>
                <w:rFonts w:ascii="仿宋_GB2312" w:hAnsi="仿宋_GB2312" w:cs="仿宋_GB2312" w:eastAsia="仿宋_GB2312"/>
                <w:sz w:val="18"/>
              </w:rPr>
              <w:t>验收和退货</w:t>
            </w:r>
          </w:p>
          <w:p>
            <w:pPr>
              <w:pStyle w:val="null3"/>
              <w:ind w:firstLine="360"/>
              <w:jc w:val="both"/>
            </w:pPr>
            <w:r>
              <w:rPr>
                <w:rFonts w:ascii="仿宋_GB2312" w:hAnsi="仿宋_GB2312" w:cs="仿宋_GB2312" w:eastAsia="仿宋_GB2312"/>
                <w:sz w:val="18"/>
              </w:rPr>
              <w:t>供应商应派专人与采购方严格按照订单进行验收，凡有下列情况之一，采购方有权要求无条件退货：</w:t>
            </w:r>
          </w:p>
          <w:p>
            <w:pPr>
              <w:pStyle w:val="null3"/>
              <w:ind w:firstLine="360"/>
              <w:jc w:val="both"/>
            </w:pPr>
            <w:r>
              <w:rPr>
                <w:rFonts w:ascii="仿宋_GB2312" w:hAnsi="仿宋_GB2312" w:cs="仿宋_GB2312" w:eastAsia="仿宋_GB2312"/>
                <w:sz w:val="21"/>
              </w:rPr>
              <w:t>1.与订单不符、盗版、缺页、污损、错配、印刷质量不符合要求、缺少附件等质量不合格的图书；</w:t>
            </w:r>
          </w:p>
          <w:p>
            <w:pPr>
              <w:pStyle w:val="null3"/>
            </w:pPr>
            <w:r>
              <w:rPr>
                <w:rFonts w:ascii="仿宋_GB2312" w:hAnsi="仿宋_GB2312" w:cs="仿宋_GB2312" w:eastAsia="仿宋_GB2312"/>
                <w:sz w:val="21"/>
              </w:rPr>
              <w:t xml:space="preserve">       2.因供应商提供图书信息不准确、识别困难或错误等导致采购方认为不适合入藏的图书，如：教材类、中小学及少儿图书、开本过大或过小等。</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.其他要求</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1）供应商提供订购书目质量承诺函，承诺内容如下：明确提供可供采购图书书目中一类出版社书目所占比例，并列举所能提供的一类出版社名称，并出具与其合作的相关合同或证明。</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2）供应商为完成本项目组建的工作小组，每个专业人员的情况和人员数应该明确表示：项目组人员的履历表应随投标文件一并提交，主要内容包括学历、经验业绩等。</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3）编目人员资格：供应方到馆加工人员应参加过calis中文图书编目业务培训</w:t>
            </w:r>
            <w:r>
              <w:rPr>
                <w:rFonts w:ascii="仿宋_GB2312" w:hAnsi="仿宋_GB2312" w:cs="仿宋_GB2312" w:eastAsia="仿宋_GB2312"/>
                <w:sz w:val="18"/>
              </w:rPr>
              <w:t>，并能够持证在规定的时间内完成图书加工任务。图书编目数据误差率准许范围不得超过</w:t>
            </w:r>
            <w:r>
              <w:rPr>
                <w:rFonts w:ascii="仿宋_GB2312" w:hAnsi="仿宋_GB2312" w:cs="仿宋_GB2312" w:eastAsia="仿宋_GB2312"/>
                <w:sz w:val="18"/>
              </w:rPr>
              <w:t>2‰。</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4）以上所需的各种证书、证件、证明、执照等若系复印件，须在复印件上加盖投标供应商有效的公章。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自合同签订生效后半年内完成全部供货。单批次交货期：接到买方通知后20天内。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自合同签订生效后半年内完成全部供货。单批次交货期：接到买方通知后20天内。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自合同签订生效后半年内完成全部供货。单批次交货期：接到买方通知后20天内。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本项目指定地点（采购人指定）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本项目指定地点（采购人指定）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本项目指定地点（采购人指定）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合同生效后，待全部货物到达指定地点、经双方验收合格中标供应商完成加工后的5个工作日内，由中标供应商开具合同总价款增值税发票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合同生效后，待全部货物到达指定地点、经双方验收合格，在中标供应商完成加工后的5个工作日内，由中标供应商开具合同总价款增值税发票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合同生效后，待全部货物到达指定地点、经双方验收合格，在中标供应商完成加工后的5个工作日内，由中标供应商开具合同总价款增值税发票，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派专人与采购方严格按照订单进行验收，凡有下列情况之一，采购方有权要求无条件退货：①与订单不符、盗版、缺页、污损、错配、印刷质量不符合要求、缺少附件等质量不合格的图书；②因供应商提供图书信息不准确、识别困难或错误等导致采购方认为不适合入藏的图书，如：教材类、中小学及少儿图书、开本过大或过小等。 （2）技术验收：交收检验合格后，验收以国际标准或以合同文本中描述的有关技术要求为准。 （3）最终验收：技术验收合格后的，采购人根据使用单位技术验收报告，组织相关部门或相关人员对货物进行最终验收。 （4）验收依据 合同文本； 国家有关的验收标准及规范； 招标文件； 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派专人与采购方严格按照订单进行验收，凡有下列情况之一，采购方有权要求无条件退货：①与订单不符、盗版、缺页、污损、错配、印刷质量不符合要求、缺少附件等质量不合格的图书；②因供应商提供图书信息不准确、识别困难或错误等导致采购方认为不适合入藏的图书，如：教材类、中小学及少儿图书、开本过大或过小等。 （2）技术验收：交收检验合格后，验收以国际标准或以合同文本中描述的有关技术要求为准。 （3）最终验收：技术验收合格后的，采购人根据使用单位技术验收报告，组织相关部门或相关人员对货物进行最终验收。 （4）验收依据 合同文本； 国家有关的验收标准及规范； 招标文件； 投标文件。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派专人与采购方严格按照订单进行验收，凡有下列情况之一，采购方有权要求无条件退货：①与订单不符、盗版、缺页、污损、错配、印刷质量不符合要求、缺少附件等质量不合格的图书；②因供应商提供图书信息不准确、识别困难或错误等导致采购方认为不适合入藏的图书，如：教材类、中小学及少儿图书、开本过大或过小等。 （2）技术验收：交收检验合格后，验收以国际标准或以合同文本中描述的有关技术要求为准。 （3）最终验收：技术验收合格后的，采购人根据使用单位技术验收报告，组织相关部门或相关人员对货物进行最终验收。 （4）验收依据 合同文本； 国家有关的验收标准及规范； 招标文件； 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1.供应商可参与多个合同包投标,但只能中其中一个合同包。评标委员会依次评审每个合同包，排名第一的中标供应商在其他合同包不再被推荐为候选中标供应商，依次类推。 2.优惠率=1-(实洋/码洋)x100%。 3.供应商按采购包报名、领取招标文件,可参与多个采购包投标,但最终最多只能中标一个采购包(采购包1、采购包2、采购包3受此要求)。评标委员会按照采购包1、采购包2、采购包3依次开展评审工作。供应商若在前一个采购包评审中得分第一，其后各采购包只参与打分，不参与推荐第一中标候选人。 4.供应商如对招标文件有疑问的请将问题加盖公章发至baichenxiangmu@163.com，请同时电话告知采购代理机构，如未告知由此引起的责任供应商自行承担。 5.其他：①为顺利推进政府采购电子化交易平台应用工作，投标人需要在线提交所有通过电子化交易平台实施的政府采购项目的投标文件。②线下提交投标文件正本壹份、副本壹份（密封，标明单位名称，项目名称，标包，日期），纸质投标文件需胶装，若线上电子投标文件与纸质投标文件不一致的，以线上电子投标文件为准；递交地址：西安市科技二路启迪清扬时代D座10楼21001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供应商需在项目电子化交易系统中按要求填写，并进行电子签章。</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供应商自行提供健全的财务会计制度的证明材料，自行提供，具体要求见资格审查对应内容；</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供应商需在项目电子化交易系统中按要求填写，并进行电子签章。</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供应商需在项目电子化交易系统中按要求填写，并进行电子签章。</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供应商自行提供健全的财务会计制度的证明材料，自行提供，具体要求见资格审查对应内容；</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供应商需在项目电子化交易系统中按要求填写，并进行电子签章。</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供应商需在项目电子化交易系统中按要求填写，并进行电子签章。</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供应商自行提供健全的财务会计制度的证明材料，自行提供，具体要求见资格审查对应内容；</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供应商需在项目电子化交易系统中按要求填写，并进行电子签章。</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度或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投标人自行提供《非联合体投标声明》；</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度或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投标人自行提供《非联合体投标声明》；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度或2024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投标人自行提供《非联合体投标声明》；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投标报价方式</w:t>
            </w:r>
          </w:p>
        </w:tc>
        <w:tc>
          <w:tcPr>
            <w:tcW w:type="dxa" w:w="3322"/>
          </w:tcPr>
          <w:p>
            <w:pPr>
              <w:pStyle w:val="null3"/>
            </w:pPr>
            <w:r>
              <w:rPr>
                <w:rFonts w:ascii="仿宋_GB2312" w:hAnsi="仿宋_GB2312" w:cs="仿宋_GB2312" w:eastAsia="仿宋_GB2312"/>
              </w:rPr>
              <w:t>符合招标文件要求(合格)，不符合招标文件要求(不合格)</w:t>
            </w:r>
          </w:p>
        </w:tc>
        <w:tc>
          <w:tcPr>
            <w:tcW w:type="dxa" w:w="1661"/>
          </w:tcPr>
          <w:p>
            <w:pPr>
              <w:pStyle w:val="null3"/>
            </w:pPr>
            <w:r>
              <w:rPr>
                <w:rFonts w:ascii="仿宋_GB2312" w:hAnsi="仿宋_GB2312" w:cs="仿宋_GB2312" w:eastAsia="仿宋_GB2312"/>
              </w:rPr>
              <w:t>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开标一览表 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投标人应提交的相关资格证明材料.docx 产品技术参数表 符合性评审内容.docx 投标函 详细评审（1）.docx 中小企业声明函 残疾人福利性单位声明函 标的清单 投标文件封面 商务应答表.docx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 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符合性评审内容.docx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投标报价方式</w:t>
            </w:r>
          </w:p>
        </w:tc>
        <w:tc>
          <w:tcPr>
            <w:tcW w:type="dxa" w:w="3322"/>
          </w:tcPr>
          <w:p>
            <w:pPr>
              <w:pStyle w:val="null3"/>
            </w:pPr>
            <w:r>
              <w:rPr>
                <w:rFonts w:ascii="仿宋_GB2312" w:hAnsi="仿宋_GB2312" w:cs="仿宋_GB2312" w:eastAsia="仿宋_GB2312"/>
              </w:rPr>
              <w:t>符合招标文件要求(合格)，不符合招标文件要求(不合格)</w:t>
            </w:r>
          </w:p>
        </w:tc>
        <w:tc>
          <w:tcPr>
            <w:tcW w:type="dxa" w:w="1661"/>
          </w:tcPr>
          <w:p>
            <w:pPr>
              <w:pStyle w:val="null3"/>
            </w:pPr>
            <w:r>
              <w:rPr>
                <w:rFonts w:ascii="仿宋_GB2312" w:hAnsi="仿宋_GB2312" w:cs="仿宋_GB2312" w:eastAsia="仿宋_GB2312"/>
              </w:rPr>
              <w:t>开标一览表 符合性评审内容.docx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投标人应提交的相关资格证明材料.docx 符合性评审内容.docx 投标函 中小企业声明函 残疾人福利性单位声明函 详细评审（2）.docx 标的清单 投标文件封面 商务应答表.docx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开标一览表 符合性评审内容.docx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 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符合性评审内容.docx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投标报价方式</w:t>
            </w:r>
          </w:p>
        </w:tc>
        <w:tc>
          <w:tcPr>
            <w:tcW w:type="dxa" w:w="3322"/>
          </w:tcPr>
          <w:p>
            <w:pPr>
              <w:pStyle w:val="null3"/>
            </w:pPr>
            <w:r>
              <w:rPr>
                <w:rFonts w:ascii="仿宋_GB2312" w:hAnsi="仿宋_GB2312" w:cs="仿宋_GB2312" w:eastAsia="仿宋_GB2312"/>
              </w:rPr>
              <w:t>符合招标文件要求(合格)，不符合招标文件要求(不合格)</w:t>
            </w:r>
          </w:p>
        </w:tc>
        <w:tc>
          <w:tcPr>
            <w:tcW w:type="dxa" w:w="1661"/>
          </w:tcPr>
          <w:p>
            <w:pPr>
              <w:pStyle w:val="null3"/>
            </w:pPr>
            <w:r>
              <w:rPr>
                <w:rFonts w:ascii="仿宋_GB2312" w:hAnsi="仿宋_GB2312" w:cs="仿宋_GB2312" w:eastAsia="仿宋_GB2312"/>
              </w:rPr>
              <w:t>开标一览表 符合性评审内容.docx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开标一览表 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投标人应提交的相关资格证明材料.docx 符合性评审内容.docx 投标函 中小企业声明函 残疾人福利性单位声明函 详细评审（3）.docx 标的清单 投标文件封面 商务应答表.docx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开标一览表 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 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符合性评审内容.docx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采购内容及服务要求完全符合招标文件要求，没有负偏离的得4分；每有一条参数负偏离扣1分，扣完为止。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详细评审（1）.docx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图书响应度及到货率： 根据书源情况和出版动态，所供图书出版社、出版时间、图书品种、图书类目、年度供货量及到货率等满足招标文件要求，订单到货周期为20天，到馆率为75%以上，现采图书到货周期为两周，到货率90%以上，不得随意删除采购单位订单中的品种与数量，重点出版社图书品种齐全，年度供货量不低于总数的80%，可提供技术方案、照片、合作单位的证明等材料赋分，提供材料科学、严密、合理，描述详细且具有针对性的计2.1～4分；提供材料具有不合理项、描述略欠缺、具有一定的实施难度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编目数据的响应程度： 及时提供CNMARK编目数据，编目数据需符合CALIS联合编目标准等要求，可提供照片、合作单位的证明等材料赋分，提供材料科学、严密、合理，描述详细且具有针对性的计2.1～4分；提供材料具有不合理项、描述略欠缺、具有一定的实施难度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供货方案4</w:t>
            </w:r>
          </w:p>
        </w:tc>
        <w:tc>
          <w:tcPr>
            <w:tcW w:type="dxa" w:w="2492"/>
          </w:tcPr>
          <w:p>
            <w:pPr>
              <w:pStyle w:val="null3"/>
            </w:pPr>
            <w:r>
              <w:rPr>
                <w:rFonts w:ascii="仿宋_GB2312" w:hAnsi="仿宋_GB2312" w:cs="仿宋_GB2312" w:eastAsia="仿宋_GB2312"/>
              </w:rPr>
              <w:t>提供图书加工： 为图书馆所订图书提供编目、盖章、贴条码、加磁条、打包等图书加工服务，提供到馆加工服务人员等，并接受图书馆质量监督，可提供照片、合作单位的证明等材料赋分，提供材料科学、严密、合理，描述详细且具有针对性的计2.1～4分；提供材料具有不合理项、描述略欠缺、具有一定的实施难度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供货方案5</w:t>
            </w:r>
          </w:p>
        </w:tc>
        <w:tc>
          <w:tcPr>
            <w:tcW w:type="dxa" w:w="2492"/>
          </w:tcPr>
          <w:p>
            <w:pPr>
              <w:pStyle w:val="null3"/>
            </w:pPr>
            <w:r>
              <w:rPr>
                <w:rFonts w:ascii="仿宋_GB2312" w:hAnsi="仿宋_GB2312" w:cs="仿宋_GB2312" w:eastAsia="仿宋_GB2312"/>
              </w:rPr>
              <w:t>人员配置： 投标人拟派到馆加工人员须参加过CALIS中文图书编目业务培训，提供具备CALIS中文编目人员名单，并提供相应的资格证书，每人得1分，最高得5分。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供货方案6</w:t>
            </w:r>
          </w:p>
        </w:tc>
        <w:tc>
          <w:tcPr>
            <w:tcW w:type="dxa" w:w="2492"/>
          </w:tcPr>
          <w:p>
            <w:pPr>
              <w:pStyle w:val="null3"/>
            </w:pPr>
            <w:r>
              <w:rPr>
                <w:rFonts w:ascii="仿宋_GB2312" w:hAnsi="仿宋_GB2312" w:cs="仿宋_GB2312" w:eastAsia="仿宋_GB2312"/>
              </w:rPr>
              <w:t>零订服务、应急供货响应及售后服务： （1）供应商可随时满足采购人的零订需求，按其响应程度计0-3分。 （2）满足图书应急采购及其他专题采购等服务要求及时响应，按其响应程度计0-3分； （3）针对本项目的实际需求提供具体、可行的售后服务承诺（承诺合理的退换、调换方案及响应时间等）及售后方案，承诺及方案内容全面，可行性强，得3-5分；承诺及方案内容不够全面，有一定可行性，得0.1-2.9分；承诺及方案内容可行性较差或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供货方案7</w:t>
            </w:r>
          </w:p>
        </w:tc>
        <w:tc>
          <w:tcPr>
            <w:tcW w:type="dxa" w:w="2492"/>
          </w:tcPr>
          <w:p>
            <w:pPr>
              <w:pStyle w:val="null3"/>
            </w:pPr>
            <w:r>
              <w:rPr>
                <w:rFonts w:ascii="仿宋_GB2312" w:hAnsi="仿宋_GB2312" w:cs="仿宋_GB2312" w:eastAsia="仿宋_GB2312"/>
              </w:rPr>
              <w:t>其他配套服务： （1）协助图书馆开展读书月活动，并提供相关活动证明（包括合作单位案例等），计2分。 （2）供应商应提供读书月活动、阅读推广活动及其他服务的活动方案，评标委员会依据方案打分，总体方案完备、合理、切实可行计2-3分；总体方案内容不够全面，有一定可行性，得0.1-1.9分；总体方案较差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企业实力： 根据投标人管理水平、生产经营水平、销售能力等，针对本项目提供供货组织安排、人力、财力调配、运输配送、防潮措施等实施保障方案。方案科学性、便利性和可操作性较强得3-4分；科学性、便利性和可操作性一般得0.1-2.9分，方案不够细致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销售及仓储能力：（1）具有固定的图书营业场所或零售卖场计2分； （2）具有可供现采的仓储式现货库房（含零售卖场）或者样本库。现货库或样本库面积＜2万平方米，计2分； 现货库或样本库面积≥2万平方米，计3分。 须提供房产证明或房屋租赁合同复印件，未提供证明材料不得分。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供货渠道保障： 评标委员会根据投标人提供正版图书（包含但不限于招标文件所列重点出版社目录范围），供货渠道说明（包括但不限于授权、销售协议、代理协议等），每份计1分，满分10分。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履约能力4</w:t>
            </w:r>
          </w:p>
        </w:tc>
        <w:tc>
          <w:tcPr>
            <w:tcW w:type="dxa" w:w="2492"/>
          </w:tcPr>
          <w:p>
            <w:pPr>
              <w:pStyle w:val="null3"/>
            </w:pPr>
            <w:r>
              <w:rPr>
                <w:rFonts w:ascii="仿宋_GB2312" w:hAnsi="仿宋_GB2312" w:cs="仿宋_GB2312" w:eastAsia="仿宋_GB2312"/>
              </w:rPr>
              <w:t>会展能力： 具有组织参加现货会的能力，以2024年组织参加的现货会为参考，按其响应程度计0-4分，未提供证明材料则不得分。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同类业绩： （1）2022年至今有六所以上高校图书馆供书经历得基本分2分，每多一所高校图书馆供书经历得2分，最高加4分。（附合同复印件及相关负责人姓名及座机电话以备评标现场查证） （2）提供与用户单位的供货服务满意评价表，同一单位的用户满意评价表算一份（包含图书质量、图书发货包装、图书发货清单、随书配送的编目数据、售后服务及到书率等），所有服务为非常满意得1分，任意一项为一般扣0.5分，任意一项为不满意不得分。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优惠率最高的为评标基准价，优惠率最高的有效响应得满分30分。其余报价按(有效响应优惠率/有效最高响应优惠率x30)的公式计算其得分，计算分数时四舍五入取小数点后两位；报价不完整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采购内容及服务要求完全符合招标文件要求，没有负偏离的得4分；每有一条参数负偏离扣1分，扣完为止。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图书响应度及到货率： 根据书源情况和出版动态，所供图书出版社、出版时间、图书品种、图书类目、年度供货量及到货率等满足招标文件要求，订单到货周期为20天，到馆率为75%以上，现采图书到货周期为两周，到货率90%以上，不得随意删除采购单位订单中的品种与数量，重点出版社图书品种齐全，年度供货量不低于总数的80%，可提供技术方案、照片、合作单位的证明等材料赋分，提供材料科学、严密、合理，描述详细且具有针对性的计2.1～4分；提供材料具有不合理项、描述略欠缺、具有一定的实施难度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编目数据的响应程度： 及时提供CNMARK编目数据，编目数据需符合CALIS联合编目标准等要求，可提供照片、合作单位的证明等材料赋分，提供材料科学、严密、合理，描述详细且具有针对性的计2.1～4分；提供材料具有不合理项、描述略欠缺、具有一定的实施难度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供货方案4</w:t>
            </w:r>
          </w:p>
        </w:tc>
        <w:tc>
          <w:tcPr>
            <w:tcW w:type="dxa" w:w="2492"/>
          </w:tcPr>
          <w:p>
            <w:pPr>
              <w:pStyle w:val="null3"/>
            </w:pPr>
            <w:r>
              <w:rPr>
                <w:rFonts w:ascii="仿宋_GB2312" w:hAnsi="仿宋_GB2312" w:cs="仿宋_GB2312" w:eastAsia="仿宋_GB2312"/>
              </w:rPr>
              <w:t>提供图书加工： 为图书馆所订图书提供编目、盖章、贴条码、加磁条、打包等图书加工服务，提供到馆加工服务人员等，并接受图书馆质量监督，可提供照片、合作单位的证明等材料赋分，提供材料科学、严密、合理，描述详细且具有针对性的计2.1～4分；提供材料具有不合理项、描述略欠缺、具有一定的实施难度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供货方案5</w:t>
            </w:r>
          </w:p>
        </w:tc>
        <w:tc>
          <w:tcPr>
            <w:tcW w:type="dxa" w:w="2492"/>
          </w:tcPr>
          <w:p>
            <w:pPr>
              <w:pStyle w:val="null3"/>
            </w:pPr>
            <w:r>
              <w:rPr>
                <w:rFonts w:ascii="仿宋_GB2312" w:hAnsi="仿宋_GB2312" w:cs="仿宋_GB2312" w:eastAsia="仿宋_GB2312"/>
              </w:rPr>
              <w:t>人员配置： 投标人拟派到馆加工人员须参加过CALIS中文图书编目业务培训，提供具备CALIS中文编目人员名单，并提供相应的资格证书，每人得1分，最高得5分。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供货方案6</w:t>
            </w:r>
          </w:p>
        </w:tc>
        <w:tc>
          <w:tcPr>
            <w:tcW w:type="dxa" w:w="2492"/>
          </w:tcPr>
          <w:p>
            <w:pPr>
              <w:pStyle w:val="null3"/>
            </w:pPr>
            <w:r>
              <w:rPr>
                <w:rFonts w:ascii="仿宋_GB2312" w:hAnsi="仿宋_GB2312" w:cs="仿宋_GB2312" w:eastAsia="仿宋_GB2312"/>
              </w:rPr>
              <w:t>零订服务、应急供货响应及售后服务： （1）供应商可随时满足采购人的零订需求，按其响应程度计0-3分。 （2）满足图书应急采购及其他专题采购等服务要求及时响应，按其响应程度计0-3分； （3）针对本项目的实际需求提供具体、可行的售后服务承诺（承诺合理的退换、调换方案及响应时间等）及售后方案，承诺及方案内容全面，可行性强，得3-5分；承诺及方案内容不够全面，有一定可行性，得0.1-2.9分；承诺及方案内容可行性较差或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供货方案7</w:t>
            </w:r>
          </w:p>
        </w:tc>
        <w:tc>
          <w:tcPr>
            <w:tcW w:type="dxa" w:w="2492"/>
          </w:tcPr>
          <w:p>
            <w:pPr>
              <w:pStyle w:val="null3"/>
            </w:pPr>
            <w:r>
              <w:rPr>
                <w:rFonts w:ascii="仿宋_GB2312" w:hAnsi="仿宋_GB2312" w:cs="仿宋_GB2312" w:eastAsia="仿宋_GB2312"/>
              </w:rPr>
              <w:t>其他配套服务： （1）协助图书馆开展读书月活动，并提供相关活动证明（包括合作单位案例等），计2分。 （2）供应商应提供读书月活动、阅读推广活动及其他服务的活动方案，评标委员会依据方案打分，总体方案完备、合理、切实可行计2-3分；总体方案内容不够全面，有一定可行性，得0.1-1.9分；总体方案较差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企业实力： 根据投标人管理水平、生产经营水平、销售能力等，针对本项目提供供货组织安排、人力、财力调配、运输配送、防潮措施等实施保障方案。方案科学性、便利性和可操作性较强得3-4分；科学性、便利性和可操作性一般得0.1-2.9分，方案不够细致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销售及仓储能力：（1）具有固定的图书营业场所或零售卖场计2分； （2）具有可供现采的仓储式现货库房（含零售卖场）或者样本库。现货库或样本库面积＜2万平方米，计2分； 现货库或样本库面积≥2万平方米，计3分。 须提供房产证明或房屋租赁合同复印件，未提供证明材料不得分。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供货渠道保障： 评标委员会根据投标人提供正版图书（包含但不限于招标文件所列重点出版社目录范围），供货渠道说明（包括但不限于授权、销售协议、代理协议等），每份计1分，满分10分。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履约能力4</w:t>
            </w:r>
          </w:p>
        </w:tc>
        <w:tc>
          <w:tcPr>
            <w:tcW w:type="dxa" w:w="2492"/>
          </w:tcPr>
          <w:p>
            <w:pPr>
              <w:pStyle w:val="null3"/>
            </w:pPr>
            <w:r>
              <w:rPr>
                <w:rFonts w:ascii="仿宋_GB2312" w:hAnsi="仿宋_GB2312" w:cs="仿宋_GB2312" w:eastAsia="仿宋_GB2312"/>
              </w:rPr>
              <w:t>会展能力： 具有组织参加现货会的能力，以2024年组织参加的现货会为参考，按其响应程度计0-4分，未提供证明材料则不得分。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同类业绩： （1）2022年至今有六所以上高校图书馆供书经历得基本分2分，每多一所高校图书馆供书经历得2分，最高加4分。（附合同复印件及相关负责人姓名及座机电话以备评标现场查证） （2）提供与用户单位的供货服务满意评价表，同一单位的用户满意评价表算一份（包含图书质量、图书发货包装、图书发货清单、随书配送的编目数据、售后服务及到书率等），所有服务为非常满意得1分，任意一项为一般扣0.5分，任意一项为不满意不得分。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优惠率最高的为评标基准价，优惠率最高的有效响应得满分30分。其余报价按(有效响应优惠率/有效最高响应优惠率x30)的公式计算其得分，计算分数时四舍五入取小数点后两位；报价不完整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采购内容及服务要求完全符合招标文件要求，没有负偏离的得4分；每有一条参数负偏离扣1分，扣完为止。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图书响应度及到货率： 根据书源情况和出版动态，所供图书出版社、出版时间、图书品种、图书类目、年度供货量及到货率等满足招标文件要求，订单到货周期为20天，到馆率为75%以上，现采图书到货周期为两周，到货率90%以上，不得随意删除采购单位订单中的品种与数量，重点出版社图书品种齐全，年度供货量不低于总数的80%，可提供技术方案、照片、合作单位的证明等材料赋分，提供材料科学、严密、合理，描述详细且具有针对性的计2.1～4分；提供材料具有不合理项、描述略欠缺、具有一定的实施难度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编目数据的响应程度： 及时提供CNMARK编目数据，编目数据需符合CALIS联合编目标准等要求，可提供照片、合作单位的证明等材料赋分，提供材料科学、严密、合理，描述详细且具有针对性的计2.1～4分；提供材料具有不合理项、描述略欠缺、具有一定的实施难度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供货方案4</w:t>
            </w:r>
          </w:p>
        </w:tc>
        <w:tc>
          <w:tcPr>
            <w:tcW w:type="dxa" w:w="2492"/>
          </w:tcPr>
          <w:p>
            <w:pPr>
              <w:pStyle w:val="null3"/>
            </w:pPr>
            <w:r>
              <w:rPr>
                <w:rFonts w:ascii="仿宋_GB2312" w:hAnsi="仿宋_GB2312" w:cs="仿宋_GB2312" w:eastAsia="仿宋_GB2312"/>
              </w:rPr>
              <w:t>提供图书加工： 为图书馆所订图书提供编目、盖章、贴条码、加磁条、打包等图书加工服务，提供到馆加工服务人员等，并接受图书馆质量监督，可提供照片、合作单位的证明等材料赋分，提供材料科学、严密、合理，描述详细且具有针对性的计2.1～4分；提供材料具有不合理项、描述略欠缺、具有一定的实施难度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供货方案5</w:t>
            </w:r>
          </w:p>
        </w:tc>
        <w:tc>
          <w:tcPr>
            <w:tcW w:type="dxa" w:w="2492"/>
          </w:tcPr>
          <w:p>
            <w:pPr>
              <w:pStyle w:val="null3"/>
            </w:pPr>
            <w:r>
              <w:rPr>
                <w:rFonts w:ascii="仿宋_GB2312" w:hAnsi="仿宋_GB2312" w:cs="仿宋_GB2312" w:eastAsia="仿宋_GB2312"/>
              </w:rPr>
              <w:t>人员配置： 投标人拟派到馆加工人员须参加过CALIS中文图书编目业务培训，提供具备CALIS中文编目人员名单，并提供相应的资格证书，每人得1分，最高得5分。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供货方案6</w:t>
            </w:r>
          </w:p>
        </w:tc>
        <w:tc>
          <w:tcPr>
            <w:tcW w:type="dxa" w:w="2492"/>
          </w:tcPr>
          <w:p>
            <w:pPr>
              <w:pStyle w:val="null3"/>
            </w:pPr>
            <w:r>
              <w:rPr>
                <w:rFonts w:ascii="仿宋_GB2312" w:hAnsi="仿宋_GB2312" w:cs="仿宋_GB2312" w:eastAsia="仿宋_GB2312"/>
              </w:rPr>
              <w:t>零订服务、应急供货响应及售后服务： （1）供应商可随时满足采购人的零订需求，按其响应程度计0-3分。 （2）满足图书应急采购及其他专题采购等服务要求及时响应，按其响应程度计0-3分； （3）针对本项目的实际需求提供具体、可行的售后服务承诺（承诺合理的退换、调换方案及响应时间等）及售后方案，承诺及方案内容全面，可行性强，得3-5分；承诺及方案内容不够全面，有一定可行性，得0.1-2.9分；承诺及方案内容可行性较差或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供货方案7</w:t>
            </w:r>
          </w:p>
        </w:tc>
        <w:tc>
          <w:tcPr>
            <w:tcW w:type="dxa" w:w="2492"/>
          </w:tcPr>
          <w:p>
            <w:pPr>
              <w:pStyle w:val="null3"/>
            </w:pPr>
            <w:r>
              <w:rPr>
                <w:rFonts w:ascii="仿宋_GB2312" w:hAnsi="仿宋_GB2312" w:cs="仿宋_GB2312" w:eastAsia="仿宋_GB2312"/>
              </w:rPr>
              <w:t>其他配套服务： （1）协助图书馆开展读书月活动，并提供相关活动证明（包括合作单位案例等），计2分。 （2）供应商应提供读书月活动、阅读推广活动及其他服务的活动方案，评标委员会依据方案打分，总体方案完备、合理、切实可行计2-3分；总体方案内容不够全面，有一定可行性，得0.1-1.9分；总体方案较差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企业实力： 根据投标人管理水平、生产经营水平、销售能力等，针对本项目提供供货组织安排、人力、财力调配、运输配送、防潮措施等实施保障方案。方案科学性、便利性和可操作性较强得3-4分；科学性、便利性和可操作性一般得0.1-2.9分，方案不够细致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销售及仓储能力：（1）具有固定的图书营业场所或零售卖场计2分； （2）具有可供现采的仓储式现货库房（含零售卖场）或者样本库。现货库或样本库面积＜2万平方米，计2分； 现货库或样本库面积≥2万平方米，计3分。 须提供房产证明或房屋租赁合同复印件，未提供证明材料不得分。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供货渠道保障： 评标委员会根据投标人提供正版图书（包含但不限于招标文件所列重点出版社目录范围），供货渠道说明（包括但不限于授权、销售协议、代理协议等），每份计1分，满分10分。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履约能力4</w:t>
            </w:r>
          </w:p>
        </w:tc>
        <w:tc>
          <w:tcPr>
            <w:tcW w:type="dxa" w:w="2492"/>
          </w:tcPr>
          <w:p>
            <w:pPr>
              <w:pStyle w:val="null3"/>
            </w:pPr>
            <w:r>
              <w:rPr>
                <w:rFonts w:ascii="仿宋_GB2312" w:hAnsi="仿宋_GB2312" w:cs="仿宋_GB2312" w:eastAsia="仿宋_GB2312"/>
              </w:rPr>
              <w:t>会展能力： 具有组织参加现货会的能力，以2024年组织参加的现货会为参考，按其响应程度计0-4分，未提供证明材料则不得分。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同类业绩： （1）2022年至今有六所以上高校图书馆供书经历得基本分2分，每多一所高校图书馆供书经历得2分，最高加4分。（附合同复印件及相关负责人姓名及座机电话以备评标现场查证） （2）提供与用户单位的供货服务满意评价表，同一单位的用户满意评价表算一份（包含图书质量、图书发货包装、图书发货清单、随书配送的编目数据、售后服务及到书率等），所有服务为非常满意得1分，任意一项为一般扣0.5分，任意一项为不满意不得分。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详细评审（3）.docx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优惠率最高的为评标基准价，优惠率最高的有效响应得满分30分。其余报价按(有效响应优惠率/有效最高响应优惠率x30)的公式计算其得分，计算分数时四舍五入取小数点后两位；报价不完整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详见附件：符合性评审内容.docx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详见附件：详细评审（1）.docx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详见附件：符合性评审内容.docx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详见附件：详细评审（2）.docx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详见附件：符合性评审内容.docx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详见附件：详细评审（3）.docx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详见附件：图书购销合同.docx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