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10D3CD">
      <w:pPr>
        <w:spacing w:line="360" w:lineRule="auto"/>
        <w:jc w:val="center"/>
        <w:outlineLvl w:val="0"/>
        <w:rPr>
          <w:rStyle w:val="7"/>
          <w:rFonts w:hint="eastAsia"/>
          <w:b/>
          <w:bCs/>
          <w:lang w:eastAsia="zh-CN"/>
        </w:rPr>
      </w:pPr>
      <w:r>
        <w:rPr>
          <w:rStyle w:val="7"/>
          <w:rFonts w:hint="eastAsia" w:ascii="Times New Roman" w:hAnsi="Times New Roman" w:eastAsia="宋体" w:cs="Times New Roman"/>
          <w:b/>
          <w:bCs/>
          <w:sz w:val="36"/>
          <w:szCs w:val="36"/>
          <w:lang w:val="en-US" w:eastAsia="zh-CN" w:bidi="ar-SA"/>
        </w:rPr>
        <w:t>合同主要条款</w:t>
      </w:r>
    </w:p>
    <w:p w14:paraId="6EAA7B96">
      <w:pPr>
        <w:pStyle w:val="8"/>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asciiTheme="minorEastAsia" w:hAnsiTheme="minorEastAsia" w:eastAsiaTheme="minorEastAsia"/>
        </w:rPr>
      </w:pPr>
      <w:r>
        <w:rPr>
          <w:rFonts w:hint="eastAsia" w:asciiTheme="minorEastAsia" w:hAnsiTheme="minorEastAsia" w:eastAsiaTheme="minorEastAsia"/>
        </w:rPr>
        <w:t>甲方（</w:t>
      </w:r>
      <w:r>
        <w:rPr>
          <w:rFonts w:hint="eastAsia" w:asciiTheme="minorEastAsia" w:hAnsiTheme="minorEastAsia" w:eastAsiaTheme="minorEastAsia"/>
          <w:lang w:val="en-US" w:eastAsia="zh-CN"/>
        </w:rPr>
        <w:t>招标</w:t>
      </w:r>
      <w:r>
        <w:rPr>
          <w:rFonts w:hint="eastAsia" w:asciiTheme="minorEastAsia" w:hAnsiTheme="minorEastAsia" w:eastAsiaTheme="minorEastAsia"/>
        </w:rPr>
        <w:t>人）：</w:t>
      </w:r>
      <w:r>
        <w:rPr>
          <w:rFonts w:hint="eastAsia" w:asciiTheme="minorEastAsia" w:hAnsiTheme="minorEastAsia" w:eastAsiaTheme="minorEastAsia"/>
          <w:u w:val="single"/>
        </w:rPr>
        <w:t xml:space="preserve">                     </w:t>
      </w:r>
    </w:p>
    <w:p w14:paraId="04F5827E">
      <w:pPr>
        <w:pStyle w:val="8"/>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asciiTheme="minorEastAsia" w:hAnsiTheme="minorEastAsia" w:eastAsiaTheme="minorEastAsia"/>
        </w:rPr>
      </w:pPr>
      <w:r>
        <w:rPr>
          <w:rFonts w:hint="eastAsia" w:asciiTheme="minorEastAsia" w:hAnsiTheme="minorEastAsia" w:eastAsiaTheme="minorEastAsia"/>
        </w:rPr>
        <w:t>乙方（中标供应商）：</w:t>
      </w:r>
      <w:r>
        <w:rPr>
          <w:rFonts w:hint="eastAsia" w:asciiTheme="minorEastAsia" w:hAnsiTheme="minorEastAsia" w:eastAsiaTheme="minorEastAsia"/>
          <w:u w:val="single"/>
        </w:rPr>
        <w:t xml:space="preserve">                     </w:t>
      </w:r>
    </w:p>
    <w:p w14:paraId="62465909">
      <w:pPr>
        <w:pStyle w:val="8"/>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asciiTheme="minorEastAsia" w:hAnsiTheme="minorEastAsia" w:eastAsiaTheme="minorEastAsia"/>
        </w:rPr>
      </w:pPr>
      <w:r>
        <w:rPr>
          <w:rFonts w:hint="eastAsia" w:asciiTheme="minorEastAsia" w:hAnsiTheme="minorEastAsia" w:eastAsiaTheme="minorEastAsia"/>
        </w:rPr>
        <w:t>根据</w:t>
      </w:r>
      <w:r>
        <w:rPr>
          <w:rFonts w:hint="eastAsia" w:asciiTheme="minorEastAsia" w:hAnsiTheme="minorEastAsia" w:eastAsiaTheme="minorEastAsia"/>
          <w:u w:val="single"/>
          <w:lang w:eastAsia="zh-CN"/>
        </w:rPr>
        <w:t>（</w:t>
      </w:r>
      <w:r>
        <w:rPr>
          <w:rFonts w:hint="eastAsia" w:asciiTheme="minorEastAsia" w:hAnsiTheme="minorEastAsia" w:eastAsiaTheme="minorEastAsia"/>
          <w:u w:val="single"/>
          <w:lang w:val="en-US" w:eastAsia="zh-CN"/>
        </w:rPr>
        <w:t>项目名称</w:t>
      </w:r>
      <w:r>
        <w:rPr>
          <w:rFonts w:hint="eastAsia" w:asciiTheme="minorEastAsia" w:hAnsiTheme="minorEastAsia" w:eastAsiaTheme="minorEastAsia"/>
          <w:u w:val="single"/>
          <w:lang w:eastAsia="zh-CN"/>
        </w:rPr>
        <w:t>）</w:t>
      </w:r>
      <w:r>
        <w:rPr>
          <w:rFonts w:hint="eastAsia" w:asciiTheme="minorEastAsia" w:hAnsiTheme="minorEastAsia" w:eastAsiaTheme="minorEastAsia"/>
        </w:rPr>
        <w:t>的</w:t>
      </w:r>
      <w:r>
        <w:rPr>
          <w:rFonts w:hint="eastAsia" w:asciiTheme="minorEastAsia" w:hAnsiTheme="minorEastAsia" w:eastAsiaTheme="minorEastAsia"/>
          <w:lang w:val="en-US" w:eastAsia="zh-CN"/>
        </w:rPr>
        <w:t>招标</w:t>
      </w:r>
      <w:r>
        <w:rPr>
          <w:rFonts w:hint="eastAsia" w:asciiTheme="minorEastAsia" w:hAnsiTheme="minorEastAsia" w:eastAsiaTheme="minorEastAsia"/>
        </w:rPr>
        <w:t>结果，按照《中华人民共和国民法典》</w:t>
      </w:r>
      <w:r>
        <w:rPr>
          <w:rFonts w:hint="eastAsia" w:cs="仿宋" w:asciiTheme="minorEastAsia" w:hAnsiTheme="minorEastAsia" w:eastAsiaTheme="minorEastAsia"/>
        </w:rPr>
        <w:t>、《中华人民共和国</w:t>
      </w:r>
      <w:r>
        <w:rPr>
          <w:rFonts w:hint="eastAsia" w:cs="仿宋" w:asciiTheme="minorEastAsia" w:hAnsiTheme="minorEastAsia" w:eastAsiaTheme="minorEastAsia"/>
          <w:lang w:val="en-US" w:eastAsia="zh-CN"/>
        </w:rPr>
        <w:t>政府采购</w:t>
      </w:r>
      <w:r>
        <w:rPr>
          <w:rFonts w:hint="eastAsia" w:cs="仿宋" w:asciiTheme="minorEastAsia" w:hAnsiTheme="minorEastAsia" w:eastAsiaTheme="minorEastAsia"/>
        </w:rPr>
        <w:t>法》</w:t>
      </w:r>
      <w:r>
        <w:rPr>
          <w:rFonts w:hint="eastAsia" w:asciiTheme="minorEastAsia" w:hAnsiTheme="minorEastAsia" w:eastAsiaTheme="minorEastAsia"/>
        </w:rPr>
        <w:t>及其他有关法律、法规，遵循平等、自愿、公平和诚信的原则，双方就下述项目范围与相关服务事项协商一致，订立本合同。</w:t>
      </w:r>
    </w:p>
    <w:p w14:paraId="6877E59B">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b/>
        </w:rPr>
      </w:pPr>
      <w:r>
        <w:rPr>
          <w:rFonts w:hint="eastAsia" w:cs="仿宋" w:asciiTheme="minorEastAsia" w:hAnsiTheme="minorEastAsia" w:eastAsiaTheme="minorEastAsia"/>
          <w:b/>
        </w:rPr>
        <w:t>一、项目概况</w:t>
      </w:r>
    </w:p>
    <w:p w14:paraId="4FA627EA">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bookmarkStart w:id="0" w:name="_Toc9887"/>
      <w:bookmarkStart w:id="1" w:name="_Toc14051"/>
      <w:bookmarkStart w:id="2" w:name="_Toc20252"/>
      <w:r>
        <w:rPr>
          <w:rFonts w:hint="eastAsia" w:cs="仿宋" w:asciiTheme="minorEastAsia" w:hAnsiTheme="minorEastAsia" w:eastAsiaTheme="minorEastAsia"/>
        </w:rPr>
        <w:t>1、项目名称：</w:t>
      </w:r>
      <w:bookmarkEnd w:id="0"/>
      <w:bookmarkEnd w:id="1"/>
      <w:bookmarkEnd w:id="2"/>
    </w:p>
    <w:p w14:paraId="03B3BC2C">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bookmarkStart w:id="3" w:name="_Toc26738"/>
      <w:bookmarkStart w:id="4" w:name="_Toc27168"/>
      <w:bookmarkStart w:id="5" w:name="_Toc7927"/>
      <w:r>
        <w:rPr>
          <w:rFonts w:hint="eastAsia" w:cs="仿宋" w:asciiTheme="minorEastAsia" w:hAnsiTheme="minorEastAsia" w:eastAsiaTheme="minorEastAsia"/>
        </w:rPr>
        <w:t>2、项目地点：甲方</w:t>
      </w:r>
      <w:r>
        <w:rPr>
          <w:rFonts w:cs="仿宋" w:asciiTheme="minorEastAsia" w:hAnsiTheme="minorEastAsia" w:eastAsiaTheme="minorEastAsia"/>
        </w:rPr>
        <w:t>指定地点</w:t>
      </w:r>
      <w:r>
        <w:rPr>
          <w:rFonts w:hint="eastAsia" w:cs="仿宋" w:asciiTheme="minorEastAsia" w:hAnsiTheme="minorEastAsia" w:eastAsiaTheme="minorEastAsia"/>
        </w:rPr>
        <w:t>；</w:t>
      </w:r>
      <w:bookmarkEnd w:id="3"/>
      <w:bookmarkEnd w:id="4"/>
      <w:bookmarkEnd w:id="5"/>
    </w:p>
    <w:p w14:paraId="198A2A0F">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b/>
        </w:rPr>
      </w:pPr>
      <w:r>
        <w:rPr>
          <w:rFonts w:hint="eastAsia" w:cs="仿宋" w:asciiTheme="minorEastAsia" w:hAnsiTheme="minorEastAsia" w:eastAsiaTheme="minorEastAsia"/>
          <w:b/>
        </w:rPr>
        <w:t>二、组成本合同的文件</w:t>
      </w:r>
    </w:p>
    <w:p w14:paraId="0338798B">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1. 合同书；</w:t>
      </w:r>
    </w:p>
    <w:p w14:paraId="5342A346">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2. 中标通知书、投标文件、招标文件、澄清、补充文件；</w:t>
      </w:r>
    </w:p>
    <w:p w14:paraId="7B456336">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3. 相关服务建议书；</w:t>
      </w:r>
    </w:p>
    <w:p w14:paraId="2378C38C">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4. 附录，即：附表内相关服务的范围和内容；</w:t>
      </w:r>
    </w:p>
    <w:p w14:paraId="0939740B">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本合同签订后，双方依法签订的补充协议也是本合同文件的组成部分，具有同等法律效力。</w:t>
      </w:r>
    </w:p>
    <w:p w14:paraId="22D54AD1">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b/>
        </w:rPr>
      </w:pPr>
      <w:r>
        <w:rPr>
          <w:rFonts w:hint="eastAsia" w:cs="仿宋" w:asciiTheme="minorEastAsia" w:hAnsiTheme="minorEastAsia" w:eastAsiaTheme="minorEastAsia"/>
          <w:b/>
        </w:rPr>
        <w:t>三、合同总价</w:t>
      </w:r>
    </w:p>
    <w:p w14:paraId="518F632B">
      <w:pPr>
        <w:keepNext w:val="0"/>
        <w:keepLines w:val="0"/>
        <w:pageBreakBefore w:val="0"/>
        <w:widowControl w:val="0"/>
        <w:wordWrap/>
        <w:overflowPunct/>
        <w:topLinePunct w:val="0"/>
        <w:autoSpaceDE/>
        <w:autoSpaceDN/>
        <w:bidi w:val="0"/>
        <w:adjustRightInd w:val="0"/>
        <w:snapToGrid w:val="0"/>
        <w:spacing w:line="324" w:lineRule="auto"/>
        <w:ind w:firstLine="422"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b/>
        </w:rPr>
        <w:t>合同总价</w:t>
      </w:r>
      <w:r>
        <w:rPr>
          <w:rFonts w:hint="eastAsia" w:cs="仿宋" w:asciiTheme="minorEastAsia" w:hAnsiTheme="minorEastAsia" w:eastAsiaTheme="minorEastAsia"/>
        </w:rPr>
        <w:t>（大写）：</w:t>
      </w:r>
      <w:r>
        <w:rPr>
          <w:rFonts w:hint="eastAsia" w:cs="仿宋" w:asciiTheme="minorEastAsia" w:hAnsiTheme="minorEastAsia" w:eastAsiaTheme="minorEastAsia"/>
          <w:u w:val="single"/>
        </w:rPr>
        <w:t xml:space="preserve">                            </w:t>
      </w:r>
      <w:r>
        <w:rPr>
          <w:rFonts w:hint="eastAsia" w:cs="仿宋" w:asciiTheme="minorEastAsia" w:hAnsiTheme="minorEastAsia" w:eastAsiaTheme="minorEastAsia"/>
        </w:rPr>
        <w:t>（¥        ）；</w:t>
      </w:r>
    </w:p>
    <w:p w14:paraId="53D9E856">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合同总价即中标价，总价包干，不受市场价变化或实际工作量变化的影响。合同价格为含税价，乙方提供产品发生的一切税（包括增值税）费等都已包含于合同价款中。</w:t>
      </w:r>
    </w:p>
    <w:p w14:paraId="435C18AF">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附分项清单：</w:t>
      </w:r>
    </w:p>
    <w:tbl>
      <w:tblPr>
        <w:tblStyle w:val="5"/>
        <w:tblW w:w="92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960"/>
        <w:gridCol w:w="1357"/>
        <w:gridCol w:w="1786"/>
        <w:gridCol w:w="853"/>
        <w:gridCol w:w="828"/>
        <w:gridCol w:w="1157"/>
        <w:gridCol w:w="1555"/>
      </w:tblGrid>
      <w:tr w14:paraId="6B4E2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exact"/>
          <w:jc w:val="center"/>
        </w:trPr>
        <w:tc>
          <w:tcPr>
            <w:tcW w:w="751" w:type="dxa"/>
            <w:vAlign w:val="center"/>
          </w:tcPr>
          <w:p w14:paraId="4D17B492">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rPr>
              <w:t>序号</w:t>
            </w:r>
          </w:p>
        </w:tc>
        <w:tc>
          <w:tcPr>
            <w:tcW w:w="960" w:type="dxa"/>
            <w:vAlign w:val="center"/>
          </w:tcPr>
          <w:p w14:paraId="0384BAD7">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rPr>
              <w:t>名称</w:t>
            </w:r>
          </w:p>
        </w:tc>
        <w:tc>
          <w:tcPr>
            <w:tcW w:w="1357" w:type="dxa"/>
            <w:vAlign w:val="center"/>
          </w:tcPr>
          <w:p w14:paraId="02C50059">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rPr>
              <w:t>品牌</w:t>
            </w:r>
          </w:p>
        </w:tc>
        <w:tc>
          <w:tcPr>
            <w:tcW w:w="1786" w:type="dxa"/>
            <w:vAlign w:val="center"/>
          </w:tcPr>
          <w:p w14:paraId="49E22CE6">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rPr>
              <w:t>规格型号</w:t>
            </w:r>
          </w:p>
        </w:tc>
        <w:tc>
          <w:tcPr>
            <w:tcW w:w="853" w:type="dxa"/>
            <w:vAlign w:val="center"/>
          </w:tcPr>
          <w:p w14:paraId="22D43497">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rPr>
              <w:t>数量</w:t>
            </w:r>
          </w:p>
        </w:tc>
        <w:tc>
          <w:tcPr>
            <w:tcW w:w="828" w:type="dxa"/>
            <w:vAlign w:val="center"/>
          </w:tcPr>
          <w:p w14:paraId="3E2381B5">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rPr>
              <w:t>单位</w:t>
            </w:r>
          </w:p>
        </w:tc>
        <w:tc>
          <w:tcPr>
            <w:tcW w:w="1157" w:type="dxa"/>
            <w:vAlign w:val="center"/>
          </w:tcPr>
          <w:p w14:paraId="78C92A35">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rPr>
              <w:t>单价（元）</w:t>
            </w:r>
          </w:p>
        </w:tc>
        <w:tc>
          <w:tcPr>
            <w:tcW w:w="1555" w:type="dxa"/>
            <w:vAlign w:val="center"/>
          </w:tcPr>
          <w:p w14:paraId="33A91F10">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rPr>
              <w:t>合计</w:t>
            </w:r>
          </w:p>
          <w:p w14:paraId="5F7F39A2">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rPr>
              <w:t>（元）</w:t>
            </w:r>
          </w:p>
        </w:tc>
      </w:tr>
      <w:tr w14:paraId="7BC24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751" w:type="dxa"/>
            <w:vAlign w:val="center"/>
          </w:tcPr>
          <w:p w14:paraId="77EF2561">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960" w:type="dxa"/>
            <w:vAlign w:val="center"/>
          </w:tcPr>
          <w:p w14:paraId="61A3F861">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1357" w:type="dxa"/>
            <w:vAlign w:val="center"/>
          </w:tcPr>
          <w:p w14:paraId="78F4B08C">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1786" w:type="dxa"/>
            <w:vAlign w:val="center"/>
          </w:tcPr>
          <w:p w14:paraId="55138DDC">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853" w:type="dxa"/>
            <w:vAlign w:val="center"/>
          </w:tcPr>
          <w:p w14:paraId="354A0B4B">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828" w:type="dxa"/>
            <w:vAlign w:val="center"/>
          </w:tcPr>
          <w:p w14:paraId="374416B7">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1157" w:type="dxa"/>
            <w:vAlign w:val="center"/>
          </w:tcPr>
          <w:p w14:paraId="09DD580A">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1555" w:type="dxa"/>
            <w:vAlign w:val="center"/>
          </w:tcPr>
          <w:p w14:paraId="55479B8A">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r>
      <w:tr w14:paraId="13231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751" w:type="dxa"/>
            <w:vAlign w:val="center"/>
          </w:tcPr>
          <w:p w14:paraId="208E64C5">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960" w:type="dxa"/>
            <w:vAlign w:val="center"/>
          </w:tcPr>
          <w:p w14:paraId="3463E116">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1357" w:type="dxa"/>
            <w:vAlign w:val="center"/>
          </w:tcPr>
          <w:p w14:paraId="359257A5">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1786" w:type="dxa"/>
            <w:vAlign w:val="center"/>
          </w:tcPr>
          <w:p w14:paraId="729AAD38">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853" w:type="dxa"/>
            <w:vAlign w:val="center"/>
          </w:tcPr>
          <w:p w14:paraId="49E41D23">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828" w:type="dxa"/>
            <w:vAlign w:val="center"/>
          </w:tcPr>
          <w:p w14:paraId="32BCAFB5">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1157" w:type="dxa"/>
            <w:vAlign w:val="center"/>
          </w:tcPr>
          <w:p w14:paraId="2CF770BE">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1555" w:type="dxa"/>
            <w:vAlign w:val="center"/>
          </w:tcPr>
          <w:p w14:paraId="1CED2E64">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r>
      <w:tr w14:paraId="3F8B3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751" w:type="dxa"/>
            <w:vAlign w:val="center"/>
          </w:tcPr>
          <w:p w14:paraId="40D86DE0">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960" w:type="dxa"/>
            <w:vAlign w:val="center"/>
          </w:tcPr>
          <w:p w14:paraId="5E04E4A7">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1357" w:type="dxa"/>
            <w:vAlign w:val="center"/>
          </w:tcPr>
          <w:p w14:paraId="281BA816">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1786" w:type="dxa"/>
            <w:vAlign w:val="center"/>
          </w:tcPr>
          <w:p w14:paraId="657936C6">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853" w:type="dxa"/>
            <w:vAlign w:val="center"/>
          </w:tcPr>
          <w:p w14:paraId="3449F6DC">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828" w:type="dxa"/>
            <w:vAlign w:val="center"/>
          </w:tcPr>
          <w:p w14:paraId="76CEC177">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1157" w:type="dxa"/>
            <w:vAlign w:val="center"/>
          </w:tcPr>
          <w:p w14:paraId="7885A7ED">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c>
          <w:tcPr>
            <w:tcW w:w="1555" w:type="dxa"/>
            <w:vAlign w:val="center"/>
          </w:tcPr>
          <w:p w14:paraId="73ABCF23">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p>
        </w:tc>
      </w:tr>
      <w:tr w14:paraId="544E1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9247" w:type="dxa"/>
            <w:gridSpan w:val="8"/>
            <w:vAlign w:val="center"/>
          </w:tcPr>
          <w:p w14:paraId="7A4706AF">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合计金额：¥          元；     大写：</w:t>
            </w:r>
          </w:p>
        </w:tc>
      </w:tr>
    </w:tbl>
    <w:p w14:paraId="06BC915D">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注：此表应与招标文件、投标文件内容一致。</w:t>
      </w:r>
    </w:p>
    <w:p w14:paraId="5F711EBB">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b/>
        </w:rPr>
      </w:pPr>
      <w:r>
        <w:rPr>
          <w:rFonts w:hint="eastAsia" w:cs="仿宋" w:asciiTheme="minorEastAsia" w:hAnsiTheme="minorEastAsia" w:eastAsiaTheme="minorEastAsia"/>
          <w:b/>
        </w:rPr>
        <w:t>四、结算方式：</w:t>
      </w:r>
    </w:p>
    <w:p w14:paraId="68760484">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（1）结算方式：银行转账。</w:t>
      </w:r>
    </w:p>
    <w:p w14:paraId="69D2F169">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（2）付款方式：</w:t>
      </w:r>
    </w:p>
    <w:p w14:paraId="6D702694">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b/>
        </w:rPr>
      </w:pPr>
      <w:r>
        <w:rPr>
          <w:rFonts w:hint="eastAsia" w:cs="仿宋" w:asciiTheme="minorEastAsia" w:hAnsiTheme="minorEastAsia" w:eastAsiaTheme="minorEastAsia"/>
          <w:b/>
        </w:rPr>
        <w:t>五、交货地点及交货期</w:t>
      </w:r>
    </w:p>
    <w:p w14:paraId="3A6D2078">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1、交货地点：甲方指定地点</w:t>
      </w:r>
    </w:p>
    <w:p w14:paraId="0EC31F2F">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hint="eastAsia" w:cs="仿宋" w:asciiTheme="minorEastAsia" w:hAnsiTheme="minorEastAsia" w:eastAsiaTheme="minorEastAsia"/>
          <w:lang w:eastAsia="zh-CN"/>
        </w:rPr>
      </w:pPr>
      <w:r>
        <w:rPr>
          <w:rFonts w:hint="eastAsia" w:cs="仿宋" w:asciiTheme="minorEastAsia" w:hAnsiTheme="minorEastAsia" w:eastAsiaTheme="minorEastAsia"/>
        </w:rPr>
        <w:t>2、交货期：自合同签订之日起20个工作日内完成</w:t>
      </w:r>
      <w:r>
        <w:rPr>
          <w:rFonts w:hint="eastAsia" w:cs="仿宋" w:asciiTheme="minorEastAsia" w:hAnsiTheme="minorEastAsia"/>
          <w:lang w:eastAsia="zh-CN"/>
        </w:rPr>
        <w:t>。</w:t>
      </w:r>
    </w:p>
    <w:p w14:paraId="1E31069F">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b/>
          <w:bCs/>
        </w:rPr>
      </w:pPr>
      <w:r>
        <w:rPr>
          <w:rFonts w:hint="eastAsia" w:cs="仿宋" w:asciiTheme="minorEastAsia" w:hAnsiTheme="minorEastAsia" w:eastAsiaTheme="minorEastAsia"/>
          <w:b/>
          <w:bCs/>
        </w:rPr>
        <w:t>六、双方的权利和义务</w:t>
      </w:r>
    </w:p>
    <w:p w14:paraId="1DBB3C8B">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（一）甲方的权利和义务</w:t>
      </w:r>
    </w:p>
    <w:p w14:paraId="3E3D3907">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1.产品性能必须与其标示的技术指标相符合，甲方有权在产品的有效保证期内依据技术指标对该产品进行技术验收，其主要的技术参数达不到标准时，甲方有权无条件退货或依据有关法律索赔。</w:t>
      </w:r>
    </w:p>
    <w:p w14:paraId="03631EF9">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2.提供热线及专属客户经理电话全年7*24小时的不间断服务。否则甲方有权指定第三方维修，维修费用由乙方承担。</w:t>
      </w:r>
    </w:p>
    <w:p w14:paraId="156FBD26">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3.质保期内，所投产品发生故障，乙方接到通知后，派出合格的维修人员到用户现场进行维修，维修全部费用由乙方承担，若需将产品送回生产厂，供货方还需承担往返费用。</w:t>
      </w:r>
    </w:p>
    <w:p w14:paraId="4D8E828E">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4.质保期内，产品出现故障在甲方及时通知乙方后，不能及时排除故障造成停诊时间超过一个月,甲方有权向乙方提出退货。</w:t>
      </w:r>
    </w:p>
    <w:p w14:paraId="468483FF">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5.甲方保证按合同规定及时付款。</w:t>
      </w:r>
    </w:p>
    <w:p w14:paraId="46A04CFB">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（二）乙方的权利和义务</w:t>
      </w:r>
    </w:p>
    <w:p w14:paraId="26480DF9">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1.乙方提供给甲方的产品必须是设计科学、技术成熟、工艺精良，原厂生产的未曾使用过的、全新的合格产品。</w:t>
      </w:r>
    </w:p>
    <w:p w14:paraId="066BE291">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2.设计技术专利、外型专利、应用软件专利等均应符合我国的有关法律及行业标准，凡因以上问题与第三方发生的任何纠纷均与甲方无关。</w:t>
      </w:r>
    </w:p>
    <w:p w14:paraId="7D76AFAC">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3.安全可靠。在正常使用下不应对操作者造成任何人身伤害，如因产品质量或标示不明确而对操作者造成损失的，甲方将保留依法索赔的权利。</w:t>
      </w:r>
    </w:p>
    <w:p w14:paraId="26354DB9">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4.有强制性安全标准的产品，乙方应提供该产品的制造许可证证明。</w:t>
      </w:r>
    </w:p>
    <w:p w14:paraId="0FAAE860">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hint="eastAsia" w:cs="仿宋" w:asciiTheme="minorEastAsia" w:hAnsiTheme="minorEastAsia" w:eastAsiaTheme="minorEastAsia"/>
        </w:rPr>
      </w:pPr>
      <w:r>
        <w:rPr>
          <w:rFonts w:hint="eastAsia" w:cs="仿宋" w:asciiTheme="minorEastAsia" w:hAnsiTheme="minorEastAsia" w:eastAsiaTheme="minorEastAsia"/>
        </w:rPr>
        <w:t>5.乙方有义务对本合同项目甲方需要的关键产品提供有关咨询。</w:t>
      </w:r>
    </w:p>
    <w:p w14:paraId="2105E10C">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b/>
        </w:rPr>
      </w:pPr>
      <w:r>
        <w:rPr>
          <w:rFonts w:hint="eastAsia" w:cs="仿宋" w:asciiTheme="minorEastAsia" w:hAnsiTheme="minorEastAsia" w:eastAsiaTheme="minorEastAsia"/>
          <w:b/>
        </w:rPr>
        <w:t>七、内容及要求：</w:t>
      </w:r>
    </w:p>
    <w:p w14:paraId="3F773428">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即交付的产品、服务内容、数量与投标文件、招标文件等所指明的，或者与本合同所指明的产品、服务内容相一致。</w:t>
      </w:r>
    </w:p>
    <w:p w14:paraId="21A36F67">
      <w:pPr>
        <w:keepNext w:val="0"/>
        <w:keepLines w:val="0"/>
        <w:pageBreakBefore w:val="0"/>
        <w:widowControl w:val="0"/>
        <w:wordWrap/>
        <w:overflowPunct/>
        <w:topLinePunct w:val="0"/>
        <w:autoSpaceDE/>
        <w:autoSpaceDN/>
        <w:bidi w:val="0"/>
        <w:spacing w:line="324" w:lineRule="auto"/>
        <w:ind w:firstLine="422" w:firstLineChars="200"/>
        <w:jc w:val="left"/>
        <w:textAlignment w:val="auto"/>
        <w:rPr>
          <w:rFonts w:cs="仿宋" w:asciiTheme="minorEastAsia" w:hAnsiTheme="minorEastAsia" w:eastAsiaTheme="minorEastAsia"/>
          <w:b/>
          <w:bCs/>
        </w:rPr>
      </w:pPr>
      <w:bookmarkStart w:id="6" w:name="_Toc13024"/>
      <w:bookmarkStart w:id="7" w:name="_Toc18856"/>
      <w:bookmarkStart w:id="8" w:name="_Toc6161"/>
      <w:r>
        <w:rPr>
          <w:rFonts w:hint="eastAsia" w:cs="仿宋" w:asciiTheme="minorEastAsia" w:hAnsiTheme="minorEastAsia" w:eastAsiaTheme="minorEastAsia"/>
          <w:b/>
          <w:bCs/>
        </w:rPr>
        <w:t>供货内容一览表</w:t>
      </w:r>
      <w:bookmarkEnd w:id="6"/>
      <w:bookmarkEnd w:id="7"/>
      <w:bookmarkEnd w:id="8"/>
    </w:p>
    <w:tbl>
      <w:tblPr>
        <w:tblStyle w:val="5"/>
        <w:tblW w:w="954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0388E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vAlign w:val="center"/>
          </w:tcPr>
          <w:p w14:paraId="0B575898">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sz w:val="21"/>
                <w:szCs w:val="21"/>
              </w:rPr>
            </w:pPr>
            <w:r>
              <w:rPr>
                <w:rFonts w:hint="eastAsia" w:cs="仿宋" w:asciiTheme="minorEastAsia" w:hAnsiTheme="minorEastAsia" w:eastAsiaTheme="minorEastAsia"/>
                <w:sz w:val="21"/>
                <w:szCs w:val="21"/>
              </w:rPr>
              <w:t>序号</w:t>
            </w:r>
          </w:p>
        </w:tc>
        <w:tc>
          <w:tcPr>
            <w:tcW w:w="960" w:type="dxa"/>
            <w:vAlign w:val="center"/>
          </w:tcPr>
          <w:p w14:paraId="65C89F46">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sz w:val="21"/>
                <w:szCs w:val="21"/>
              </w:rPr>
            </w:pPr>
            <w:r>
              <w:rPr>
                <w:rFonts w:hint="eastAsia" w:cs="仿宋" w:asciiTheme="minorEastAsia" w:hAnsiTheme="minorEastAsia" w:eastAsiaTheme="minorEastAsia"/>
                <w:sz w:val="21"/>
                <w:szCs w:val="21"/>
              </w:rPr>
              <w:t>名称</w:t>
            </w:r>
          </w:p>
        </w:tc>
        <w:tc>
          <w:tcPr>
            <w:tcW w:w="1485" w:type="dxa"/>
            <w:tcBorders>
              <w:right w:val="single" w:color="auto" w:sz="4" w:space="0"/>
            </w:tcBorders>
            <w:vAlign w:val="center"/>
          </w:tcPr>
          <w:p w14:paraId="55CE9797">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sz w:val="21"/>
                <w:szCs w:val="21"/>
              </w:rPr>
            </w:pPr>
            <w:bookmarkStart w:id="9" w:name="_Toc27392"/>
            <w:bookmarkStart w:id="10" w:name="_Toc16506"/>
            <w:bookmarkStart w:id="11" w:name="_Toc30417"/>
            <w:bookmarkStart w:id="12" w:name="_Toc21512"/>
            <w:r>
              <w:rPr>
                <w:rFonts w:hint="eastAsia" w:cs="仿宋" w:asciiTheme="minorEastAsia" w:hAnsiTheme="minorEastAsia" w:eastAsiaTheme="minorEastAsia"/>
                <w:sz w:val="21"/>
                <w:szCs w:val="21"/>
              </w:rPr>
              <w:t>品牌、规格及型号</w:t>
            </w:r>
            <w:bookmarkEnd w:id="9"/>
            <w:bookmarkEnd w:id="10"/>
            <w:bookmarkEnd w:id="11"/>
            <w:bookmarkEnd w:id="12"/>
          </w:p>
        </w:tc>
        <w:tc>
          <w:tcPr>
            <w:tcW w:w="1695" w:type="dxa"/>
            <w:tcBorders>
              <w:left w:val="single" w:color="auto" w:sz="4" w:space="0"/>
            </w:tcBorders>
            <w:vAlign w:val="center"/>
          </w:tcPr>
          <w:p w14:paraId="21B7559F">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sz w:val="21"/>
                <w:szCs w:val="21"/>
              </w:rPr>
            </w:pPr>
            <w:bookmarkStart w:id="13" w:name="_Toc8981"/>
            <w:bookmarkStart w:id="14" w:name="_Toc15345"/>
            <w:bookmarkStart w:id="15" w:name="_Toc109"/>
            <w:bookmarkStart w:id="16" w:name="_Toc27421"/>
            <w:r>
              <w:rPr>
                <w:rFonts w:hint="eastAsia" w:cs="仿宋" w:asciiTheme="minorEastAsia" w:hAnsiTheme="minorEastAsia" w:eastAsiaTheme="minorEastAsia"/>
                <w:sz w:val="21"/>
                <w:szCs w:val="21"/>
              </w:rPr>
              <w:t>原产地及 制造厂名</w:t>
            </w:r>
            <w:bookmarkEnd w:id="13"/>
            <w:bookmarkEnd w:id="14"/>
            <w:bookmarkEnd w:id="15"/>
            <w:bookmarkEnd w:id="16"/>
          </w:p>
        </w:tc>
        <w:tc>
          <w:tcPr>
            <w:tcW w:w="825" w:type="dxa"/>
            <w:tcBorders>
              <w:right w:val="single" w:color="auto" w:sz="4" w:space="0"/>
            </w:tcBorders>
            <w:vAlign w:val="center"/>
          </w:tcPr>
          <w:p w14:paraId="5F2DD111">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sz w:val="21"/>
                <w:szCs w:val="21"/>
              </w:rPr>
            </w:pPr>
            <w:bookmarkStart w:id="17" w:name="_Toc14127"/>
            <w:bookmarkStart w:id="18" w:name="_Toc10570"/>
            <w:bookmarkStart w:id="19" w:name="_Toc20611"/>
            <w:bookmarkStart w:id="20" w:name="_Toc14339"/>
            <w:r>
              <w:rPr>
                <w:rFonts w:hint="eastAsia" w:cs="仿宋" w:asciiTheme="minorEastAsia" w:hAnsiTheme="minorEastAsia" w:eastAsiaTheme="minorEastAsia"/>
                <w:sz w:val="21"/>
                <w:szCs w:val="21"/>
              </w:rPr>
              <w:t>单价</w:t>
            </w:r>
            <w:bookmarkEnd w:id="17"/>
            <w:bookmarkEnd w:id="18"/>
            <w:bookmarkEnd w:id="19"/>
            <w:bookmarkEnd w:id="20"/>
          </w:p>
        </w:tc>
        <w:tc>
          <w:tcPr>
            <w:tcW w:w="735" w:type="dxa"/>
            <w:tcBorders>
              <w:left w:val="single" w:color="auto" w:sz="4" w:space="0"/>
              <w:right w:val="single" w:color="auto" w:sz="4" w:space="0"/>
            </w:tcBorders>
            <w:vAlign w:val="center"/>
          </w:tcPr>
          <w:p w14:paraId="4A0D5483">
            <w:pPr>
              <w:keepNext w:val="0"/>
              <w:keepLines w:val="0"/>
              <w:pageBreakBefore w:val="0"/>
              <w:widowControl w:val="0"/>
              <w:wordWrap/>
              <w:overflowPunct/>
              <w:topLinePunct w:val="0"/>
              <w:autoSpaceDE/>
              <w:autoSpaceDN/>
              <w:bidi w:val="0"/>
              <w:adjustRightInd w:val="0"/>
              <w:snapToGrid w:val="0"/>
              <w:spacing w:line="324" w:lineRule="auto"/>
              <w:jc w:val="left"/>
              <w:textAlignment w:val="auto"/>
              <w:rPr>
                <w:rFonts w:cs="仿宋" w:asciiTheme="minorEastAsia" w:hAnsiTheme="minorEastAsia" w:eastAsiaTheme="minorEastAsia"/>
                <w:sz w:val="21"/>
                <w:szCs w:val="21"/>
              </w:rPr>
            </w:pPr>
            <w:bookmarkStart w:id="21" w:name="_Toc879"/>
            <w:bookmarkStart w:id="22" w:name="_Toc31109"/>
            <w:bookmarkStart w:id="23" w:name="_Toc15777"/>
            <w:bookmarkStart w:id="24" w:name="_Toc21991"/>
            <w:r>
              <w:rPr>
                <w:rFonts w:hint="eastAsia" w:cs="仿宋" w:asciiTheme="minorEastAsia" w:hAnsiTheme="minorEastAsia" w:eastAsiaTheme="minorEastAsia"/>
                <w:sz w:val="21"/>
                <w:szCs w:val="21"/>
              </w:rPr>
              <w:t>数量</w:t>
            </w:r>
            <w:bookmarkEnd w:id="21"/>
            <w:bookmarkEnd w:id="22"/>
            <w:bookmarkEnd w:id="23"/>
            <w:bookmarkEnd w:id="24"/>
          </w:p>
        </w:tc>
        <w:tc>
          <w:tcPr>
            <w:tcW w:w="1050" w:type="dxa"/>
            <w:tcBorders>
              <w:left w:val="single" w:color="auto" w:sz="4" w:space="0"/>
            </w:tcBorders>
            <w:vAlign w:val="center"/>
          </w:tcPr>
          <w:p w14:paraId="27306687">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sz w:val="21"/>
                <w:szCs w:val="21"/>
              </w:rPr>
            </w:pPr>
            <w:bookmarkStart w:id="25" w:name="_Toc12748"/>
            <w:bookmarkStart w:id="26" w:name="_Toc6689"/>
            <w:bookmarkStart w:id="27" w:name="_Toc28024"/>
            <w:bookmarkStart w:id="28" w:name="_Toc23428"/>
            <w:r>
              <w:rPr>
                <w:rFonts w:hint="eastAsia" w:cs="仿宋" w:asciiTheme="minorEastAsia" w:hAnsiTheme="minorEastAsia" w:eastAsiaTheme="minorEastAsia"/>
                <w:sz w:val="21"/>
                <w:szCs w:val="21"/>
              </w:rPr>
              <w:t>交付地点</w:t>
            </w:r>
            <w:bookmarkEnd w:id="25"/>
            <w:bookmarkEnd w:id="26"/>
            <w:bookmarkEnd w:id="27"/>
            <w:bookmarkEnd w:id="28"/>
          </w:p>
        </w:tc>
        <w:tc>
          <w:tcPr>
            <w:tcW w:w="1215" w:type="dxa"/>
            <w:tcBorders>
              <w:right w:val="single" w:color="auto" w:sz="4" w:space="0"/>
            </w:tcBorders>
            <w:vAlign w:val="center"/>
          </w:tcPr>
          <w:p w14:paraId="63A0054C">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sz w:val="21"/>
                <w:szCs w:val="21"/>
              </w:rPr>
            </w:pPr>
            <w:bookmarkStart w:id="29" w:name="_Toc916"/>
            <w:bookmarkStart w:id="30" w:name="_Toc21882"/>
            <w:bookmarkStart w:id="31" w:name="_Toc10344"/>
            <w:bookmarkStart w:id="32" w:name="_Toc2991"/>
            <w:r>
              <w:rPr>
                <w:rFonts w:hint="eastAsia" w:cs="仿宋" w:asciiTheme="minorEastAsia" w:hAnsiTheme="minorEastAsia" w:eastAsiaTheme="minorEastAsia"/>
                <w:sz w:val="21"/>
                <w:szCs w:val="21"/>
              </w:rPr>
              <w:t>交付时间</w:t>
            </w:r>
            <w:bookmarkEnd w:id="29"/>
            <w:bookmarkEnd w:id="30"/>
            <w:bookmarkEnd w:id="31"/>
            <w:bookmarkEnd w:id="32"/>
          </w:p>
        </w:tc>
        <w:tc>
          <w:tcPr>
            <w:tcW w:w="903" w:type="dxa"/>
            <w:tcBorders>
              <w:right w:val="single" w:color="auto" w:sz="4" w:space="0"/>
            </w:tcBorders>
            <w:vAlign w:val="center"/>
          </w:tcPr>
          <w:p w14:paraId="20D4F208">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sz w:val="21"/>
                <w:szCs w:val="21"/>
              </w:rPr>
            </w:pPr>
            <w:bookmarkStart w:id="33" w:name="_Toc10193"/>
            <w:bookmarkStart w:id="34" w:name="_Toc31273"/>
            <w:bookmarkStart w:id="35" w:name="_Toc17703"/>
            <w:bookmarkStart w:id="36" w:name="_Toc18945"/>
            <w:r>
              <w:rPr>
                <w:rFonts w:hint="eastAsia" w:cs="仿宋" w:asciiTheme="minorEastAsia" w:hAnsiTheme="minorEastAsia" w:eastAsiaTheme="minorEastAsia"/>
                <w:sz w:val="21"/>
                <w:szCs w:val="21"/>
              </w:rPr>
              <w:t>备注</w:t>
            </w:r>
            <w:bookmarkEnd w:id="33"/>
            <w:bookmarkEnd w:id="34"/>
            <w:bookmarkEnd w:id="35"/>
            <w:bookmarkEnd w:id="36"/>
          </w:p>
        </w:tc>
      </w:tr>
      <w:tr w14:paraId="5BF9F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3C3EC2D3">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960" w:type="dxa"/>
          </w:tcPr>
          <w:p w14:paraId="03F1BD09">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485" w:type="dxa"/>
            <w:tcBorders>
              <w:right w:val="single" w:color="auto" w:sz="4" w:space="0"/>
            </w:tcBorders>
          </w:tcPr>
          <w:p w14:paraId="394E0A87">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695" w:type="dxa"/>
            <w:tcBorders>
              <w:left w:val="single" w:color="auto" w:sz="4" w:space="0"/>
            </w:tcBorders>
          </w:tcPr>
          <w:p w14:paraId="575567D4">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825" w:type="dxa"/>
            <w:tcBorders>
              <w:right w:val="single" w:color="auto" w:sz="4" w:space="0"/>
            </w:tcBorders>
          </w:tcPr>
          <w:p w14:paraId="2AF35F87">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735" w:type="dxa"/>
            <w:tcBorders>
              <w:left w:val="single" w:color="auto" w:sz="4" w:space="0"/>
              <w:right w:val="single" w:color="auto" w:sz="4" w:space="0"/>
            </w:tcBorders>
          </w:tcPr>
          <w:p w14:paraId="2DFDBED5">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050" w:type="dxa"/>
            <w:tcBorders>
              <w:left w:val="single" w:color="auto" w:sz="4" w:space="0"/>
            </w:tcBorders>
          </w:tcPr>
          <w:p w14:paraId="4000245D">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215" w:type="dxa"/>
            <w:tcBorders>
              <w:right w:val="single" w:color="auto" w:sz="4" w:space="0"/>
            </w:tcBorders>
          </w:tcPr>
          <w:p w14:paraId="0F12FD57">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903" w:type="dxa"/>
            <w:tcBorders>
              <w:right w:val="single" w:color="auto" w:sz="4" w:space="0"/>
            </w:tcBorders>
          </w:tcPr>
          <w:p w14:paraId="726E5EA0">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r>
      <w:tr w14:paraId="5EC2DB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12F102D6">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960" w:type="dxa"/>
          </w:tcPr>
          <w:p w14:paraId="0BADABF7">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485" w:type="dxa"/>
            <w:tcBorders>
              <w:right w:val="single" w:color="auto" w:sz="4" w:space="0"/>
            </w:tcBorders>
          </w:tcPr>
          <w:p w14:paraId="0BC3C0A8">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695" w:type="dxa"/>
            <w:tcBorders>
              <w:left w:val="single" w:color="auto" w:sz="4" w:space="0"/>
            </w:tcBorders>
          </w:tcPr>
          <w:p w14:paraId="708B96C1">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825" w:type="dxa"/>
            <w:tcBorders>
              <w:right w:val="single" w:color="auto" w:sz="4" w:space="0"/>
            </w:tcBorders>
          </w:tcPr>
          <w:p w14:paraId="3BEDB19C">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735" w:type="dxa"/>
            <w:tcBorders>
              <w:left w:val="single" w:color="auto" w:sz="4" w:space="0"/>
              <w:right w:val="single" w:color="auto" w:sz="4" w:space="0"/>
            </w:tcBorders>
          </w:tcPr>
          <w:p w14:paraId="3CB52451">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050" w:type="dxa"/>
            <w:tcBorders>
              <w:left w:val="single" w:color="auto" w:sz="4" w:space="0"/>
            </w:tcBorders>
          </w:tcPr>
          <w:p w14:paraId="47701165">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215" w:type="dxa"/>
            <w:tcBorders>
              <w:right w:val="single" w:color="auto" w:sz="4" w:space="0"/>
            </w:tcBorders>
          </w:tcPr>
          <w:p w14:paraId="444B25DB">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903" w:type="dxa"/>
            <w:tcBorders>
              <w:right w:val="single" w:color="auto" w:sz="4" w:space="0"/>
            </w:tcBorders>
          </w:tcPr>
          <w:p w14:paraId="698C0121">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r>
      <w:tr w14:paraId="60C313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72F33593">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960" w:type="dxa"/>
          </w:tcPr>
          <w:p w14:paraId="00134FEE">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485" w:type="dxa"/>
            <w:tcBorders>
              <w:right w:val="single" w:color="auto" w:sz="4" w:space="0"/>
            </w:tcBorders>
          </w:tcPr>
          <w:p w14:paraId="29C9A91E">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695" w:type="dxa"/>
            <w:tcBorders>
              <w:left w:val="single" w:color="auto" w:sz="4" w:space="0"/>
            </w:tcBorders>
          </w:tcPr>
          <w:p w14:paraId="284F7CF8">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825" w:type="dxa"/>
            <w:tcBorders>
              <w:right w:val="single" w:color="auto" w:sz="4" w:space="0"/>
            </w:tcBorders>
          </w:tcPr>
          <w:p w14:paraId="6E4E3063">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735" w:type="dxa"/>
            <w:tcBorders>
              <w:left w:val="single" w:color="auto" w:sz="4" w:space="0"/>
              <w:right w:val="single" w:color="auto" w:sz="4" w:space="0"/>
            </w:tcBorders>
          </w:tcPr>
          <w:p w14:paraId="4368DED9">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050" w:type="dxa"/>
            <w:tcBorders>
              <w:left w:val="single" w:color="auto" w:sz="4" w:space="0"/>
            </w:tcBorders>
          </w:tcPr>
          <w:p w14:paraId="5D71E2F4">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215" w:type="dxa"/>
            <w:tcBorders>
              <w:right w:val="single" w:color="auto" w:sz="4" w:space="0"/>
            </w:tcBorders>
          </w:tcPr>
          <w:p w14:paraId="21A61661">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903" w:type="dxa"/>
            <w:tcBorders>
              <w:right w:val="single" w:color="auto" w:sz="4" w:space="0"/>
            </w:tcBorders>
          </w:tcPr>
          <w:p w14:paraId="0B957039">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r>
      <w:tr w14:paraId="4917CE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6B08BC0C">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960" w:type="dxa"/>
          </w:tcPr>
          <w:p w14:paraId="799AD794">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485" w:type="dxa"/>
            <w:tcBorders>
              <w:right w:val="single" w:color="auto" w:sz="4" w:space="0"/>
            </w:tcBorders>
          </w:tcPr>
          <w:p w14:paraId="616D5EE0">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695" w:type="dxa"/>
            <w:tcBorders>
              <w:left w:val="single" w:color="auto" w:sz="4" w:space="0"/>
            </w:tcBorders>
          </w:tcPr>
          <w:p w14:paraId="0A9A78BB">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825" w:type="dxa"/>
            <w:tcBorders>
              <w:right w:val="single" w:color="auto" w:sz="4" w:space="0"/>
            </w:tcBorders>
          </w:tcPr>
          <w:p w14:paraId="701139FD">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735" w:type="dxa"/>
            <w:tcBorders>
              <w:left w:val="single" w:color="auto" w:sz="4" w:space="0"/>
              <w:right w:val="single" w:color="auto" w:sz="4" w:space="0"/>
            </w:tcBorders>
          </w:tcPr>
          <w:p w14:paraId="1156A042">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050" w:type="dxa"/>
            <w:tcBorders>
              <w:left w:val="single" w:color="auto" w:sz="4" w:space="0"/>
            </w:tcBorders>
          </w:tcPr>
          <w:p w14:paraId="6792D377">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1215" w:type="dxa"/>
            <w:tcBorders>
              <w:right w:val="single" w:color="auto" w:sz="4" w:space="0"/>
            </w:tcBorders>
          </w:tcPr>
          <w:p w14:paraId="136577C7">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c>
          <w:tcPr>
            <w:tcW w:w="903" w:type="dxa"/>
            <w:tcBorders>
              <w:right w:val="single" w:color="auto" w:sz="4" w:space="0"/>
            </w:tcBorders>
          </w:tcPr>
          <w:p w14:paraId="0A0B4D38">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p>
        </w:tc>
      </w:tr>
    </w:tbl>
    <w:p w14:paraId="72CB2A4F">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b/>
        </w:rPr>
      </w:pPr>
      <w:r>
        <w:rPr>
          <w:rFonts w:hint="eastAsia" w:cs="仿宋" w:asciiTheme="minorEastAsia" w:hAnsiTheme="minorEastAsia" w:eastAsiaTheme="minorEastAsia"/>
          <w:b/>
        </w:rPr>
        <w:t>八、包装要求</w:t>
      </w:r>
    </w:p>
    <w:p w14:paraId="452C4C9B">
      <w:pPr>
        <w:keepNext w:val="0"/>
        <w:keepLines w:val="0"/>
        <w:pageBreakBefore w:val="0"/>
        <w:widowControl w:val="0"/>
        <w:tabs>
          <w:tab w:val="left" w:pos="840"/>
        </w:tabs>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1、除合同另有规定外，乙方提供的全部货物，均应按标准保护措施进行包装，并确保货物安全送达至甲方指定地点。因包装不良造成的损失和由此产生的费用均由乙方自行承担。</w:t>
      </w:r>
    </w:p>
    <w:p w14:paraId="7F08FCAC">
      <w:pPr>
        <w:keepNext w:val="0"/>
        <w:keepLines w:val="0"/>
        <w:pageBreakBefore w:val="0"/>
        <w:widowControl w:val="0"/>
        <w:tabs>
          <w:tab w:val="left" w:pos="840"/>
        </w:tabs>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2、每一个包装箱内应附一份详细装箱清单和质量合格证。</w:t>
      </w:r>
    </w:p>
    <w:p w14:paraId="3B1B12EA">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b/>
        </w:rPr>
      </w:pPr>
      <w:r>
        <w:rPr>
          <w:rFonts w:hint="eastAsia" w:cs="仿宋" w:asciiTheme="minorEastAsia" w:hAnsiTheme="minorEastAsia" w:eastAsiaTheme="minorEastAsia"/>
          <w:b/>
        </w:rPr>
        <w:t>九、运输、安装、调试要求：</w:t>
      </w:r>
    </w:p>
    <w:p w14:paraId="31A3232C">
      <w:pPr>
        <w:keepNext w:val="0"/>
        <w:keepLines w:val="0"/>
        <w:pageBreakBefore w:val="0"/>
        <w:widowControl w:val="0"/>
        <w:tabs>
          <w:tab w:val="left" w:pos="840"/>
        </w:tabs>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1、乙方根据产品特性，自行选择运输及包装方式，承担一切运输费用，包括从生产厂到甲方指定交货地点所需的装卸、运输（含保险费）及其他一切费用；货物风险自甲方收到货物且书面验收合格后转移至甲方。</w:t>
      </w:r>
    </w:p>
    <w:p w14:paraId="048AEC32">
      <w:pPr>
        <w:keepNext w:val="0"/>
        <w:keepLines w:val="0"/>
        <w:pageBreakBefore w:val="0"/>
        <w:widowControl w:val="0"/>
        <w:tabs>
          <w:tab w:val="left" w:pos="840"/>
        </w:tabs>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2、由乙方负责派技术人员到现场进行安装、调试至验收合格。乙方应在合同签订后一周内，向甲方提供安装、调试及试运行的进度计划表。</w:t>
      </w:r>
    </w:p>
    <w:p w14:paraId="2EB8736A">
      <w:pPr>
        <w:keepNext w:val="0"/>
        <w:keepLines w:val="0"/>
        <w:pageBreakBefore w:val="0"/>
        <w:widowControl w:val="0"/>
        <w:tabs>
          <w:tab w:val="left" w:pos="840"/>
        </w:tabs>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3、乙方应在合同规定的安装调试期内完成该项工作,如因乙方责任而造成延期，每超过一天按合同总价款的（1‰）支付甲方误期赔偿金，直至交货或提供服务结束为止，所有因延期而产生的费用由乙方自行承担。</w:t>
      </w:r>
    </w:p>
    <w:p w14:paraId="22F9B19C">
      <w:pPr>
        <w:keepNext w:val="0"/>
        <w:keepLines w:val="0"/>
        <w:pageBreakBefore w:val="0"/>
        <w:widowControl w:val="0"/>
        <w:tabs>
          <w:tab w:val="left" w:pos="840"/>
        </w:tabs>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4、安装和调试期间所发生的费用均由乙方负责。</w:t>
      </w:r>
    </w:p>
    <w:p w14:paraId="317378B2">
      <w:pPr>
        <w:keepNext w:val="0"/>
        <w:keepLines w:val="0"/>
        <w:pageBreakBefore w:val="0"/>
        <w:widowControl w:val="0"/>
        <w:tabs>
          <w:tab w:val="left" w:pos="840"/>
        </w:tabs>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5、乙方应对安装调试、整改等实施过程的安全负责，如发生人身伤亡、财产损失的由乙方负责解决并承担全部责任。</w:t>
      </w:r>
    </w:p>
    <w:p w14:paraId="7F1A5DD2">
      <w:pPr>
        <w:pStyle w:val="4"/>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bCs/>
          <w:sz w:val="28"/>
          <w:szCs w:val="28"/>
        </w:rPr>
      </w:pPr>
      <w:r>
        <w:rPr>
          <w:rFonts w:hint="eastAsia" w:cs="仿宋" w:asciiTheme="minorEastAsia" w:hAnsiTheme="minorEastAsia" w:eastAsiaTheme="minorEastAsia"/>
          <w:b/>
          <w:sz w:val="28"/>
          <w:szCs w:val="28"/>
        </w:rPr>
        <w:t>十、质保及维保服务：</w:t>
      </w:r>
    </w:p>
    <w:p w14:paraId="2EF2D244">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bCs/>
        </w:rPr>
        <w:t>1、本项目的质保期为</w:t>
      </w:r>
      <w:r>
        <w:rPr>
          <w:rFonts w:hint="eastAsia" w:cs="仿宋" w:asciiTheme="minorEastAsia" w:hAnsiTheme="minorEastAsia" w:eastAsiaTheme="minorEastAsia"/>
        </w:rPr>
        <w:t>：自</w:t>
      </w:r>
      <w:r>
        <w:rPr>
          <w:rFonts w:cs="仿宋" w:asciiTheme="minorEastAsia" w:hAnsiTheme="minorEastAsia" w:eastAsiaTheme="minorEastAsia"/>
        </w:rPr>
        <w:t>验收合格之日起</w:t>
      </w:r>
      <w:r>
        <w:rPr>
          <w:rFonts w:hint="eastAsia" w:cs="仿宋" w:asciiTheme="minorEastAsia" w:hAnsiTheme="minorEastAsia" w:eastAsiaTheme="minorEastAsia"/>
          <w:lang w:val="en-US" w:eastAsia="zh-CN"/>
        </w:rPr>
        <w:t xml:space="preserve">   </w:t>
      </w:r>
      <w:r>
        <w:rPr>
          <w:rFonts w:hint="eastAsia" w:cs="仿宋" w:asciiTheme="minorEastAsia" w:hAnsiTheme="minorEastAsia" w:eastAsiaTheme="minorEastAsia"/>
        </w:rPr>
        <w:t>年。</w:t>
      </w:r>
    </w:p>
    <w:p w14:paraId="45DA9C6E">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bCs/>
        </w:rPr>
      </w:pPr>
      <w:r>
        <w:rPr>
          <w:rFonts w:hint="eastAsia" w:cs="仿宋" w:asciiTheme="minorEastAsia" w:hAnsiTheme="minorEastAsia" w:eastAsiaTheme="minorEastAsia"/>
          <w:bCs/>
        </w:rPr>
        <w:t>（单个产品具体要求的质保期超过对应包规定的，执行厂家规定，若国家有明确规定且高于此质保期的，执行国家规定）。</w:t>
      </w:r>
    </w:p>
    <w:p w14:paraId="7828D554">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2、乙方提供的产品及材料必须保证质量可靠，进货渠道正常，配置合理齐全，应全面满足招标文件的要求。所供产品工艺质量应严格按国家最新发布的规范标准执行，如发生质量问题由乙方承担全部责任。甲方使用产品过程中因产品质量、产品缺陷及安装质量等造成人身伤亡、财产损失的，由乙方负责解决并承担全部责任。</w:t>
      </w:r>
    </w:p>
    <w:p w14:paraId="1DB385FD">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3、服务方式：现场服务，产品按照国家三包规定执行，提供终身技术支持。在质保期内，如果发生故障，乙方要调查故障原因，由乙方提供的产品出现的问题，乙方须免费修复直至满足最终验收指标和性能。在质保期间，乙方须提供7×24小时售后服务，并且实现4小时内到达现场服务，产品故障修复时间不超过12小时，对无法立即修复的产品及时提供备件更换服务，备件提供时间不超过24小时，产品维修时间超过3天的，则须提供同档次的备用产品。</w:t>
      </w:r>
    </w:p>
    <w:p w14:paraId="76627253">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4、每年至少二次免费上门维护，回访。</w:t>
      </w:r>
    </w:p>
    <w:p w14:paraId="2EFC2673">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5、对于存在质量问题或者短少的产品，乙方应在接到甲方的通知2个日历日内负责修复，调换、重新制作或补齐。</w:t>
      </w:r>
    </w:p>
    <w:p w14:paraId="0207ED44">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6、在最终验收后的质量保证期内，乙方应对设计、工艺或材料等的缺陷而产生的故障负责（负责解决并承担全部费用）。</w:t>
      </w:r>
    </w:p>
    <w:p w14:paraId="2CB433EF">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7、对于未按约定提供质保服务的乙方或违约的乙方，甲方有权追究其违约责任并拒绝其参加甲方单位的政府采购项目。且甲方有权委托第三方进行维修，所产生的费用由乙方承担。</w:t>
      </w:r>
    </w:p>
    <w:p w14:paraId="4AF0D796">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b/>
        </w:rPr>
        <w:t>十一、验收：</w:t>
      </w:r>
    </w:p>
    <w:p w14:paraId="3CF88314">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由甲方和乙方共同对项目进行验收。其内容包括确认产品的产地、规格、型号和数量，对其产品技术指标、性能参数、样式、颜色，以及质量是否达到现行国家有关验收规范“合格”标准、是否按照甲方要求安装到位、是否按照甲方要求进行调试和提供相关培训、是否在规定时间内安装完毕、所有产品的配套包装是否完好无损等进行逐项检查。</w:t>
      </w:r>
    </w:p>
    <w:p w14:paraId="696EA26D">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1、所验产品的指标、性能参数通过验收达不到招标文件要求和投标文件承诺的，或在使用中发现设计缺陷等，将视为产品验收不合格，乙方应无条件免费更换或退货。</w:t>
      </w:r>
    </w:p>
    <w:p w14:paraId="37FCBF88">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2、若发现乙方有弄虚作假的，随意夸大产品技术性能，乙方应无条件退货，并赔偿甲方相应的损失。</w:t>
      </w:r>
    </w:p>
    <w:p w14:paraId="5D4A7E2E">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3、验收标准：按招标文件、投标文件及澄清函等技术指标进行验收。各项指标均应符合验收标准及要求。</w:t>
      </w:r>
    </w:p>
    <w:p w14:paraId="39B4DDDD">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4、验收合格后，填写验收单，双方签字盖章后生效。</w:t>
      </w:r>
    </w:p>
    <w:p w14:paraId="7226703C">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5、验收依据：</w:t>
      </w:r>
    </w:p>
    <w:p w14:paraId="3860973F">
      <w:pPr>
        <w:keepNext w:val="0"/>
        <w:keepLines w:val="0"/>
        <w:pageBreakBefore w:val="0"/>
        <w:widowControl w:val="0"/>
        <w:tabs>
          <w:tab w:val="left" w:pos="498"/>
        </w:tabs>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1）合同文本；</w:t>
      </w:r>
    </w:p>
    <w:p w14:paraId="3B50B7C4">
      <w:pPr>
        <w:keepNext w:val="0"/>
        <w:keepLines w:val="0"/>
        <w:pageBreakBefore w:val="0"/>
        <w:widowControl w:val="0"/>
        <w:tabs>
          <w:tab w:val="left" w:pos="498"/>
        </w:tabs>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2）投标文件及澄清函、招标文件；</w:t>
      </w:r>
    </w:p>
    <w:p w14:paraId="1F285918">
      <w:pPr>
        <w:keepNext w:val="0"/>
        <w:keepLines w:val="0"/>
        <w:pageBreakBefore w:val="0"/>
        <w:widowControl w:val="0"/>
        <w:tabs>
          <w:tab w:val="left" w:pos="498"/>
        </w:tabs>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3）国家和行业制定的相应的标准和规范；</w:t>
      </w:r>
    </w:p>
    <w:p w14:paraId="519A3045">
      <w:pPr>
        <w:keepNext w:val="0"/>
        <w:keepLines w:val="0"/>
        <w:pageBreakBefore w:val="0"/>
        <w:widowControl w:val="0"/>
        <w:tabs>
          <w:tab w:val="left" w:pos="498"/>
        </w:tabs>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4)产品验收清单（注明各部件的品名、数量、规格型号和原产地或生产厂家）。</w:t>
      </w:r>
    </w:p>
    <w:p w14:paraId="5DD1F834">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b/>
        </w:rPr>
      </w:pPr>
      <w:r>
        <w:rPr>
          <w:rFonts w:hint="eastAsia" w:cs="仿宋" w:asciiTheme="minorEastAsia" w:hAnsiTheme="minorEastAsia" w:eastAsiaTheme="minorEastAsia"/>
          <w:b/>
        </w:rPr>
        <w:t>十二、保密</w:t>
      </w:r>
    </w:p>
    <w:p w14:paraId="60A89FC1">
      <w:pPr>
        <w:keepNext w:val="0"/>
        <w:keepLines w:val="0"/>
        <w:pageBreakBefore w:val="0"/>
        <w:widowControl w:val="0"/>
        <w:tabs>
          <w:tab w:val="left" w:pos="1080"/>
        </w:tabs>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须严格保密，对工作中了解到的甲方的技术、机密等进行保密，不得向他人泄漏。本合同的解除或终止不免除乙方应承担的保密义务。</w:t>
      </w:r>
    </w:p>
    <w:p w14:paraId="104DBE82">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b/>
        </w:rPr>
      </w:pPr>
      <w:r>
        <w:rPr>
          <w:rFonts w:hint="eastAsia" w:cs="仿宋" w:asciiTheme="minorEastAsia" w:hAnsiTheme="minorEastAsia" w:eastAsiaTheme="minorEastAsia"/>
          <w:b/>
        </w:rPr>
        <w:t>十三、知识产权</w:t>
      </w:r>
    </w:p>
    <w:p w14:paraId="2E733A9D">
      <w:pPr>
        <w:keepNext w:val="0"/>
        <w:keepLines w:val="0"/>
        <w:pageBreakBefore w:val="0"/>
        <w:widowControl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乙方应对所供产品具有或已取得合法知识产权，未经甲方书面许可，乙方不得用于本项目以外的其他用途，另外乙方应保证所供产品及服务不会出现因第三方提出侵犯其专利权、商标权或其它知识产权而引发法律或经济纠纷，否则由乙方负责解决并承担全部责任，包括因乙方原因造成甲方知识产权遭受的经济损失；如因此影响到甲方的正常使用，甲方有权单方解除本合同，乙方应无条件向甲方退回已收取的全部合同价款。</w:t>
      </w:r>
    </w:p>
    <w:p w14:paraId="58B954C0">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b/>
        </w:rPr>
        <w:t>十四、合同争议的解决：</w:t>
      </w:r>
      <w:r>
        <w:rPr>
          <w:rFonts w:hint="eastAsia" w:cs="仿宋" w:asciiTheme="minorEastAsia" w:hAnsiTheme="minorEastAsia" w:eastAsiaTheme="minorEastAsia"/>
        </w:rPr>
        <w:t>合同执行中发生争议的，当事人双方应协商解决，协商达不成一致时，双方均可向采购人所在地人民法院提请诉讼。</w:t>
      </w:r>
    </w:p>
    <w:p w14:paraId="3E72C496">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b/>
        </w:rPr>
        <w:t>十五、</w:t>
      </w:r>
      <w:r>
        <w:rPr>
          <w:rFonts w:hint="eastAsia" w:cs="仿宋" w:asciiTheme="minorEastAsia" w:hAnsiTheme="minorEastAsia" w:eastAsiaTheme="minorEastAsia"/>
          <w:b/>
          <w:bCs/>
        </w:rPr>
        <w:t>不可抗力</w:t>
      </w:r>
      <w:r>
        <w:rPr>
          <w:rFonts w:hint="eastAsia" w:cs="仿宋" w:asciiTheme="minorEastAsia" w:hAnsiTheme="minorEastAsia" w:eastAsiaTheme="minorEastAsia"/>
          <w:b/>
          <w:bCs/>
          <w:lang w:val="en-US" w:eastAsia="zh-CN"/>
        </w:rPr>
        <w:t>因素：</w:t>
      </w:r>
      <w:r>
        <w:rPr>
          <w:rFonts w:hint="eastAsia" w:cs="仿宋" w:asciiTheme="minorEastAsia" w:hAnsiTheme="minorEastAsia" w:eastAsiaTheme="minorEastAsia"/>
        </w:rPr>
        <w:t>不可抗力情况下的免责约定，双方约定不可抗力情况包括：自然灾害、重大疫情、恶劣天气条件、政府行为、社会异常事件（包括罢工、政变、骚乱、游行等）等不能预见、不能避免并不能克服的客观情况。</w:t>
      </w:r>
    </w:p>
    <w:p w14:paraId="2536E3F5">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rPr>
      </w:pPr>
      <w:r>
        <w:rPr>
          <w:rFonts w:hint="eastAsia" w:cs="仿宋" w:asciiTheme="minorEastAsia" w:hAnsiTheme="minorEastAsia" w:eastAsiaTheme="minorEastAsia"/>
          <w:b/>
        </w:rPr>
        <w:t>十六、违约责任：</w:t>
      </w:r>
      <w:r>
        <w:rPr>
          <w:rFonts w:hint="eastAsia" w:cs="仿宋" w:asciiTheme="minorEastAsia" w:hAnsiTheme="minorEastAsia" w:eastAsiaTheme="minorEastAsia"/>
        </w:rPr>
        <w:t>依据《中华人民共和国民法典》、《中华人民共和国</w:t>
      </w:r>
      <w:r>
        <w:rPr>
          <w:rFonts w:hint="eastAsia" w:cs="仿宋" w:asciiTheme="minorEastAsia" w:hAnsiTheme="minorEastAsia" w:eastAsiaTheme="minorEastAsia"/>
          <w:lang w:val="en-US" w:eastAsia="zh-CN"/>
        </w:rPr>
        <w:t>政府采购</w:t>
      </w:r>
      <w:r>
        <w:rPr>
          <w:rFonts w:hint="eastAsia" w:cs="仿宋" w:asciiTheme="minorEastAsia" w:hAnsiTheme="minorEastAsia" w:eastAsiaTheme="minorEastAsia"/>
        </w:rPr>
        <w:t>法》的相关条款和本合同约定，乙方未全面履行合同义务或者发生违约，采购人有权终止合同，依法向成交乙方进行经济索赔，并报请政府采购监督管理机关进行相应的行政处罚。采购人违约的，应当赔偿给乙方造成的经济损失。</w:t>
      </w:r>
    </w:p>
    <w:p w14:paraId="0C2F867B">
      <w:pPr>
        <w:keepNext w:val="0"/>
        <w:keepLines w:val="0"/>
        <w:pageBreakBefore w:val="0"/>
        <w:widowControl w:val="0"/>
        <w:wordWrap/>
        <w:overflowPunct/>
        <w:topLinePunct w:val="0"/>
        <w:autoSpaceDE/>
        <w:autoSpaceDN/>
        <w:bidi w:val="0"/>
        <w:spacing w:line="324" w:lineRule="auto"/>
        <w:jc w:val="left"/>
        <w:textAlignment w:val="auto"/>
        <w:rPr>
          <w:rFonts w:cs="仿宋" w:asciiTheme="minorEastAsia" w:hAnsiTheme="minorEastAsia" w:eastAsiaTheme="minorEastAsia"/>
          <w:b/>
        </w:rPr>
      </w:pPr>
      <w:r>
        <w:rPr>
          <w:rFonts w:hint="eastAsia" w:cs="仿宋" w:asciiTheme="minorEastAsia" w:hAnsiTheme="minorEastAsia" w:eastAsiaTheme="minorEastAsia"/>
          <w:b/>
        </w:rPr>
        <w:t>十七、合同订立</w:t>
      </w:r>
    </w:p>
    <w:p w14:paraId="7D071AA4">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1. 订立时间：</w:t>
      </w:r>
      <w:r>
        <w:rPr>
          <w:rFonts w:hint="eastAsia" w:cs="仿宋" w:asciiTheme="minorEastAsia" w:hAnsiTheme="minorEastAsia" w:eastAsiaTheme="minorEastAsia"/>
          <w:u w:val="single"/>
        </w:rPr>
        <w:t xml:space="preserve">          </w:t>
      </w:r>
      <w:r>
        <w:rPr>
          <w:rFonts w:hint="eastAsia" w:cs="仿宋" w:asciiTheme="minorEastAsia" w:hAnsiTheme="minorEastAsia" w:eastAsiaTheme="minorEastAsia"/>
        </w:rPr>
        <w:t>年</w:t>
      </w:r>
      <w:r>
        <w:rPr>
          <w:rFonts w:hint="eastAsia" w:cs="仿宋" w:asciiTheme="minorEastAsia" w:hAnsiTheme="minorEastAsia" w:eastAsiaTheme="minorEastAsia"/>
          <w:u w:val="single"/>
        </w:rPr>
        <w:t xml:space="preserve">       </w:t>
      </w:r>
      <w:r>
        <w:rPr>
          <w:rFonts w:hint="eastAsia" w:cs="仿宋" w:asciiTheme="minorEastAsia" w:hAnsiTheme="minorEastAsia" w:eastAsiaTheme="minorEastAsia"/>
        </w:rPr>
        <w:t>月</w:t>
      </w:r>
      <w:r>
        <w:rPr>
          <w:rFonts w:hint="eastAsia" w:cs="仿宋" w:asciiTheme="minorEastAsia" w:hAnsiTheme="minorEastAsia" w:eastAsiaTheme="minorEastAsia"/>
          <w:u w:val="single"/>
        </w:rPr>
        <w:t xml:space="preserve">      </w:t>
      </w:r>
      <w:r>
        <w:rPr>
          <w:rFonts w:hint="eastAsia" w:cs="仿宋" w:asciiTheme="minorEastAsia" w:hAnsiTheme="minorEastAsia" w:eastAsiaTheme="minorEastAsia"/>
        </w:rPr>
        <w:t>日。</w:t>
      </w:r>
    </w:p>
    <w:p w14:paraId="421DD372">
      <w:pPr>
        <w:keepNext w:val="0"/>
        <w:keepLines w:val="0"/>
        <w:pageBreakBefore w:val="0"/>
        <w:widowControl w:val="0"/>
        <w:wordWrap/>
        <w:overflowPunct/>
        <w:topLinePunct w:val="0"/>
        <w:autoSpaceDE/>
        <w:autoSpaceDN/>
        <w:bidi w:val="0"/>
        <w:adjustRightInd w:val="0"/>
        <w:snapToGrid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2. 订立地点：</w:t>
      </w:r>
      <w:r>
        <w:rPr>
          <w:rFonts w:hint="eastAsia" w:cs="仿宋" w:asciiTheme="minorEastAsia" w:hAnsiTheme="minorEastAsia" w:eastAsiaTheme="minorEastAsia"/>
          <w:u w:val="single"/>
        </w:rPr>
        <w:t xml:space="preserve">                                 </w:t>
      </w:r>
      <w:r>
        <w:rPr>
          <w:rFonts w:hint="eastAsia" w:cs="仿宋" w:asciiTheme="minorEastAsia" w:hAnsiTheme="minorEastAsia" w:eastAsiaTheme="minorEastAsia"/>
        </w:rPr>
        <w:t>。</w:t>
      </w:r>
    </w:p>
    <w:p w14:paraId="68CE6B24">
      <w:pPr>
        <w:keepNext w:val="0"/>
        <w:keepLines w:val="0"/>
        <w:pageBreakBefore w:val="0"/>
        <w:widowControl w:val="0"/>
        <w:tabs>
          <w:tab w:val="left" w:pos="980"/>
        </w:tabs>
        <w:kinsoku w:val="0"/>
        <w:wordWrap/>
        <w:overflowPunct/>
        <w:topLinePunct w:val="0"/>
        <w:autoSpaceDE/>
        <w:autoSpaceDN/>
        <w:bidi w:val="0"/>
        <w:spacing w:line="324" w:lineRule="auto"/>
        <w:ind w:firstLine="420" w:firstLineChars="200"/>
        <w:jc w:val="left"/>
        <w:textAlignment w:val="auto"/>
        <w:rPr>
          <w:rFonts w:cs="仿宋" w:asciiTheme="minorEastAsia" w:hAnsiTheme="minorEastAsia" w:eastAsiaTheme="minorEastAsia"/>
        </w:rPr>
      </w:pPr>
      <w:r>
        <w:rPr>
          <w:rFonts w:hint="eastAsia" w:cs="仿宋" w:asciiTheme="minorEastAsia" w:hAnsiTheme="minorEastAsia" w:eastAsiaTheme="minorEastAsia"/>
        </w:rPr>
        <w:t>3. 本合同一式</w:t>
      </w:r>
      <w:r>
        <w:rPr>
          <w:rFonts w:hint="eastAsia" w:cs="仿宋" w:asciiTheme="minorEastAsia" w:hAnsiTheme="minorEastAsia" w:eastAsiaTheme="minorEastAsia"/>
          <w:u w:val="single"/>
        </w:rPr>
        <w:t xml:space="preserve">    </w:t>
      </w:r>
      <w:r>
        <w:rPr>
          <w:rFonts w:hint="eastAsia" w:cs="仿宋" w:asciiTheme="minorEastAsia" w:hAnsiTheme="minorEastAsia" w:eastAsiaTheme="minorEastAsia"/>
        </w:rPr>
        <w:t>份，其中，合同</w:t>
      </w:r>
      <w:r>
        <w:rPr>
          <w:rFonts w:hint="eastAsia" w:cs="仿宋" w:asciiTheme="minorEastAsia" w:hAnsiTheme="minorEastAsia" w:eastAsiaTheme="minorEastAsia"/>
          <w:u w:val="single"/>
        </w:rPr>
        <w:t>正本一式    份</w:t>
      </w:r>
      <w:r>
        <w:rPr>
          <w:rFonts w:hint="eastAsia" w:cs="仿宋" w:asciiTheme="minorEastAsia" w:hAnsiTheme="minorEastAsia" w:eastAsiaTheme="minorEastAsia"/>
        </w:rPr>
        <w:t>，</w:t>
      </w:r>
      <w:r>
        <w:rPr>
          <w:rFonts w:hint="eastAsia" w:cs="仿宋" w:asciiTheme="minorEastAsia" w:hAnsiTheme="minorEastAsia" w:eastAsiaTheme="minorEastAsia"/>
          <w:u w:val="single"/>
        </w:rPr>
        <w:t>副本一式   份</w:t>
      </w:r>
      <w:r>
        <w:rPr>
          <w:rFonts w:hint="eastAsia" w:cs="仿宋" w:asciiTheme="minorEastAsia" w:hAnsiTheme="minorEastAsia" w:eastAsiaTheme="minorEastAsia"/>
        </w:rPr>
        <w:t>，具有同等法律效力，正副本不一致，以正本为准。甲乙双方签字盖章后生效，合同执行完毕自动失效。</w:t>
      </w:r>
    </w:p>
    <w:p w14:paraId="2CBFC12F">
      <w:pPr>
        <w:pStyle w:val="3"/>
        <w:keepNext w:val="0"/>
        <w:keepLines w:val="0"/>
        <w:pageBreakBefore w:val="0"/>
        <w:widowControl w:val="0"/>
        <w:wordWrap/>
        <w:overflowPunct/>
        <w:topLinePunct w:val="0"/>
        <w:autoSpaceDE/>
        <w:autoSpaceDN/>
        <w:bidi w:val="0"/>
        <w:spacing w:line="324" w:lineRule="auto"/>
        <w:ind w:firstLine="560" w:firstLineChars="200"/>
        <w:jc w:val="left"/>
        <w:textAlignment w:val="auto"/>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（以下无正文）</w:t>
      </w:r>
    </w:p>
    <w:p w14:paraId="3C6088A9">
      <w:pPr>
        <w:rPr>
          <w:rFonts w:cs="仿宋" w:asciiTheme="minorEastAsia" w:hAnsiTheme="minorEastAsia" w:eastAsiaTheme="minorEastAsia"/>
        </w:rPr>
      </w:pPr>
    </w:p>
    <w:p w14:paraId="500C2FFD">
      <w:pPr>
        <w:rPr>
          <w:rFonts w:cs="仿宋" w:asciiTheme="minorEastAsia" w:hAnsiTheme="minorEastAsia" w:eastAsiaTheme="minorEastAsia"/>
        </w:rPr>
      </w:pPr>
    </w:p>
    <w:p w14:paraId="05537C71">
      <w:pPr>
        <w:rPr>
          <w:rFonts w:hint="eastAsia" w:cs="仿宋" w:asciiTheme="minorEastAsia" w:hAnsiTheme="minorEastAsia" w:eastAsiaTheme="minorEastAsia"/>
        </w:rPr>
      </w:pPr>
      <w:r>
        <w:rPr>
          <w:rFonts w:hint="eastAsia" w:cs="仿宋" w:asciiTheme="minorEastAsia" w:hAnsiTheme="minorEastAsia" w:eastAsiaTheme="minorEastAsia"/>
        </w:rPr>
        <w:br w:type="page"/>
      </w:r>
    </w:p>
    <w:p w14:paraId="6F13A9B9">
      <w:pPr>
        <w:spacing w:line="360" w:lineRule="auto"/>
        <w:rPr>
          <w:rFonts w:hint="eastAsia" w:cs="仿宋" w:asciiTheme="minorEastAsia" w:hAnsiTheme="minorEastAsia" w:eastAsiaTheme="minorEastAsia"/>
        </w:rPr>
      </w:pPr>
    </w:p>
    <w:p w14:paraId="1E6D09A5">
      <w:pPr>
        <w:spacing w:line="360" w:lineRule="auto"/>
        <w:rPr>
          <w:rFonts w:cs="仿宋" w:asciiTheme="minorEastAsia" w:hAnsiTheme="minorEastAsia" w:eastAsiaTheme="minorEastAsia"/>
        </w:rPr>
      </w:pPr>
      <w:r>
        <w:rPr>
          <w:rFonts w:hint="eastAsia" w:cs="仿宋" w:asciiTheme="minorEastAsia" w:hAnsiTheme="minorEastAsia" w:eastAsiaTheme="minorEastAsia"/>
        </w:rPr>
        <w:t>甲方（</w:t>
      </w:r>
      <w:r>
        <w:rPr>
          <w:rFonts w:hint="eastAsia" w:cs="仿宋" w:asciiTheme="minorEastAsia" w:hAnsiTheme="minorEastAsia" w:eastAsiaTheme="minorEastAsia"/>
          <w:lang w:val="en-US" w:eastAsia="zh-CN"/>
        </w:rPr>
        <w:t>招标</w:t>
      </w:r>
      <w:r>
        <w:rPr>
          <w:rFonts w:hint="eastAsia" w:cs="仿宋" w:asciiTheme="minorEastAsia" w:hAnsiTheme="minorEastAsia" w:eastAsiaTheme="minorEastAsia"/>
        </w:rPr>
        <w:t>人）：</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rPr>
        <w:t>（盖章）</w:t>
      </w:r>
      <w:r>
        <w:rPr>
          <w:rFonts w:hint="eastAsia" w:cs="仿宋" w:asciiTheme="minorEastAsia" w:hAnsiTheme="minorEastAsia" w:eastAsiaTheme="minorEastAsia"/>
        </w:rPr>
        <w:tab/>
      </w:r>
      <w:r>
        <w:rPr>
          <w:rFonts w:hint="eastAsia" w:cs="仿宋" w:asciiTheme="minorEastAsia" w:hAnsiTheme="minorEastAsia" w:eastAsiaTheme="minorEastAsia"/>
        </w:rPr>
        <w:t xml:space="preserve"> </w:t>
      </w:r>
      <w:r>
        <w:rPr>
          <w:rFonts w:hint="eastAsia" w:cs="仿宋" w:asciiTheme="minorEastAsia" w:hAnsiTheme="minorEastAsia"/>
          <w:lang w:val="en-US" w:eastAsia="zh-CN"/>
        </w:rPr>
        <w:t xml:space="preserve"> </w:t>
      </w:r>
      <w:r>
        <w:rPr>
          <w:rFonts w:hint="eastAsia" w:cs="仿宋" w:asciiTheme="minorEastAsia" w:hAnsiTheme="minorEastAsia" w:eastAsiaTheme="minorEastAsia"/>
        </w:rPr>
        <w:t>乙方（中标供应商）：</w:t>
      </w:r>
      <w:r>
        <w:rPr>
          <w:rFonts w:hint="eastAsia" w:cs="仿宋" w:asciiTheme="minorEastAsia" w:hAnsiTheme="minorEastAsia" w:eastAsiaTheme="minorEastAsia"/>
          <w:u w:val="single"/>
        </w:rPr>
        <w:t xml:space="preserve">   </w:t>
      </w:r>
      <w:r>
        <w:rPr>
          <w:rFonts w:hint="eastAsia" w:cs="仿宋" w:asciiTheme="minorEastAsia" w:hAnsiTheme="minorEastAsia"/>
          <w:u w:val="single"/>
          <w:lang w:val="en-US" w:eastAsia="zh-CN"/>
        </w:rPr>
        <w:t xml:space="preserve"> </w:t>
      </w:r>
      <w:r>
        <w:rPr>
          <w:rFonts w:hint="eastAsia" w:cs="仿宋" w:asciiTheme="minorEastAsia" w:hAnsiTheme="minorEastAsia" w:eastAsiaTheme="minorEastAsia"/>
          <w:u w:val="single"/>
        </w:rPr>
        <w:t xml:space="preserve">     </w:t>
      </w:r>
      <w:r>
        <w:rPr>
          <w:rFonts w:hint="eastAsia" w:cs="仿宋" w:asciiTheme="minorEastAsia" w:hAnsiTheme="minorEastAsia" w:eastAsiaTheme="minorEastAsia"/>
        </w:rPr>
        <w:t>（盖章）</w:t>
      </w:r>
    </w:p>
    <w:p w14:paraId="2FE03A4E">
      <w:pPr>
        <w:spacing w:line="360" w:lineRule="auto"/>
        <w:rPr>
          <w:rFonts w:hint="eastAsia" w:cs="仿宋" w:asciiTheme="minorEastAsia" w:hAnsiTheme="minorEastAsia" w:eastAsiaTheme="minorEastAsia"/>
        </w:rPr>
      </w:pPr>
    </w:p>
    <w:p w14:paraId="0096703E">
      <w:pPr>
        <w:spacing w:line="360" w:lineRule="auto"/>
        <w:rPr>
          <w:rFonts w:hint="default" w:cs="仿宋" w:asciiTheme="minorEastAsia" w:hAnsiTheme="minorEastAsia" w:eastAsiaTheme="minorEastAsia"/>
          <w:u w:val="single"/>
          <w:lang w:val="en-US" w:eastAsia="zh-CN"/>
        </w:rPr>
      </w:pPr>
      <w:r>
        <w:rPr>
          <w:rFonts w:hint="eastAsia" w:cs="仿宋" w:asciiTheme="minorEastAsia" w:hAnsiTheme="minorEastAsia" w:eastAsiaTheme="minorEastAsia"/>
        </w:rPr>
        <w:t>代表人（签字）：</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 xml:space="preserve">    </w:t>
      </w:r>
      <w:r>
        <w:rPr>
          <w:rFonts w:hint="eastAsia" w:cs="仿宋" w:asciiTheme="minorEastAsia" w:hAnsiTheme="minorEastAsia" w:eastAsiaTheme="minorEastAsia"/>
          <w:u w:val="single"/>
        </w:rPr>
        <w:tab/>
      </w:r>
      <w:r>
        <w:rPr>
          <w:rFonts w:hint="eastAsia" w:cs="仿宋" w:asciiTheme="minorEastAsia" w:hAnsiTheme="minorEastAsia" w:eastAsiaTheme="minorEastAsia"/>
        </w:rPr>
        <w:tab/>
      </w:r>
      <w:r>
        <w:rPr>
          <w:rFonts w:hint="eastAsia" w:cs="仿宋" w:asciiTheme="minorEastAsia" w:hAnsiTheme="minorEastAsia"/>
          <w:lang w:val="en-US" w:eastAsia="zh-CN"/>
        </w:rPr>
        <w:t xml:space="preserve">      </w:t>
      </w:r>
      <w:r>
        <w:rPr>
          <w:rFonts w:hint="eastAsia" w:cs="仿宋" w:asciiTheme="minorEastAsia" w:hAnsiTheme="minorEastAsia" w:eastAsiaTheme="minorEastAsia"/>
        </w:rPr>
        <w:t>代表人（签字）：</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 xml:space="preserve">  </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u w:val="single"/>
          <w:lang w:val="en-US" w:eastAsia="zh-CN"/>
        </w:rPr>
        <w:t xml:space="preserve">   </w:t>
      </w:r>
    </w:p>
    <w:p w14:paraId="4EAB3C56">
      <w:pPr>
        <w:spacing w:line="360" w:lineRule="auto"/>
        <w:rPr>
          <w:rFonts w:hint="default" w:cs="仿宋" w:asciiTheme="minorEastAsia" w:hAnsiTheme="minorEastAsia" w:eastAsiaTheme="minorEastAsia"/>
          <w:u w:val="single"/>
          <w:lang w:val="en-US" w:eastAsia="zh-CN"/>
        </w:rPr>
      </w:pPr>
      <w:r>
        <w:rPr>
          <w:rFonts w:hint="eastAsia" w:cs="仿宋" w:asciiTheme="minorEastAsia" w:hAnsiTheme="minorEastAsia" w:eastAsiaTheme="minorEastAsia"/>
        </w:rPr>
        <w:t>法定代表人（盖章）：</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rPr>
        <w:tab/>
      </w:r>
      <w:r>
        <w:rPr>
          <w:rFonts w:hint="eastAsia" w:cs="仿宋" w:asciiTheme="minorEastAsia" w:hAnsiTheme="minorEastAsia" w:eastAsiaTheme="minorEastAsia"/>
          <w:lang w:val="en-US" w:eastAsia="zh-CN"/>
        </w:rPr>
        <w:t xml:space="preserve">   </w:t>
      </w:r>
      <w:r>
        <w:rPr>
          <w:rFonts w:hint="eastAsia" w:cs="仿宋" w:asciiTheme="minorEastAsia" w:hAnsiTheme="minorEastAsia"/>
          <w:lang w:val="en-US" w:eastAsia="zh-CN"/>
        </w:rPr>
        <w:t xml:space="preserve">       </w:t>
      </w:r>
      <w:r>
        <w:rPr>
          <w:rFonts w:hint="eastAsia" w:cs="仿宋" w:asciiTheme="minorEastAsia" w:hAnsiTheme="minorEastAsia" w:eastAsiaTheme="minorEastAsia"/>
        </w:rPr>
        <w:t>法定代表人（盖章）：</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u w:val="single"/>
          <w:lang w:val="en-US" w:eastAsia="zh-CN"/>
        </w:rPr>
        <w:t xml:space="preserve">        </w:t>
      </w:r>
    </w:p>
    <w:p w14:paraId="4DF34712">
      <w:pPr>
        <w:spacing w:line="360" w:lineRule="auto"/>
        <w:rPr>
          <w:rFonts w:cs="仿宋" w:asciiTheme="minorEastAsia" w:hAnsiTheme="minorEastAsia" w:eastAsiaTheme="minorEastAsia"/>
        </w:rPr>
      </w:pPr>
      <w:r>
        <w:rPr>
          <w:rFonts w:hint="eastAsia" w:cs="仿宋" w:asciiTheme="minorEastAsia" w:hAnsiTheme="minorEastAsia" w:eastAsiaTheme="minorEastAsia"/>
        </w:rPr>
        <w:t>地    址：</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rPr>
        <w:tab/>
      </w:r>
      <w:r>
        <w:rPr>
          <w:rFonts w:hint="eastAsia" w:cs="仿宋" w:asciiTheme="minorEastAsia" w:hAnsiTheme="minorEastAsia" w:eastAsiaTheme="minorEastAsia"/>
        </w:rPr>
        <w:tab/>
      </w:r>
      <w:r>
        <w:rPr>
          <w:rFonts w:hint="eastAsia" w:cs="仿宋" w:asciiTheme="minorEastAsia" w:hAnsiTheme="minorEastAsia"/>
          <w:lang w:val="en-US" w:eastAsia="zh-CN"/>
        </w:rPr>
        <w:t xml:space="preserve">      </w:t>
      </w:r>
      <w:r>
        <w:rPr>
          <w:rFonts w:hint="eastAsia" w:cs="仿宋" w:asciiTheme="minorEastAsia" w:hAnsiTheme="minorEastAsia" w:eastAsiaTheme="minorEastAsia"/>
        </w:rPr>
        <w:t>地    址：</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rPr>
        <w:t xml:space="preserve"> </w:t>
      </w:r>
    </w:p>
    <w:p w14:paraId="12B8A11C">
      <w:pPr>
        <w:spacing w:line="360" w:lineRule="auto"/>
        <w:rPr>
          <w:rFonts w:cs="仿宋" w:asciiTheme="minorEastAsia" w:hAnsiTheme="minorEastAsia" w:eastAsiaTheme="minorEastAsia"/>
        </w:rPr>
      </w:pPr>
      <w:r>
        <w:rPr>
          <w:rFonts w:hint="eastAsia" w:cs="仿宋" w:asciiTheme="minorEastAsia" w:hAnsiTheme="minorEastAsia" w:eastAsiaTheme="minorEastAsia"/>
        </w:rPr>
        <w:t>邮政编码：</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rPr>
        <w:tab/>
      </w:r>
      <w:r>
        <w:rPr>
          <w:rFonts w:hint="eastAsia" w:cs="仿宋" w:asciiTheme="minorEastAsia" w:hAnsiTheme="minorEastAsia" w:eastAsiaTheme="minorEastAsia"/>
        </w:rPr>
        <w:tab/>
      </w:r>
      <w:r>
        <w:rPr>
          <w:rFonts w:hint="eastAsia" w:cs="仿宋" w:asciiTheme="minorEastAsia" w:hAnsiTheme="minorEastAsia"/>
          <w:lang w:val="en-US" w:eastAsia="zh-CN"/>
        </w:rPr>
        <w:t xml:space="preserve">      </w:t>
      </w:r>
      <w:r>
        <w:rPr>
          <w:rFonts w:hint="eastAsia" w:cs="仿宋" w:asciiTheme="minorEastAsia" w:hAnsiTheme="minorEastAsia" w:eastAsiaTheme="minorEastAsia"/>
        </w:rPr>
        <w:t>邮政编码：</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p>
    <w:p w14:paraId="3B51B03C">
      <w:pPr>
        <w:spacing w:line="360" w:lineRule="auto"/>
        <w:rPr>
          <w:rFonts w:cs="仿宋" w:asciiTheme="minorEastAsia" w:hAnsiTheme="minorEastAsia" w:eastAsiaTheme="minorEastAsia"/>
        </w:rPr>
      </w:pPr>
      <w:r>
        <w:rPr>
          <w:rFonts w:hint="eastAsia" w:cs="仿宋" w:asciiTheme="minorEastAsia" w:hAnsiTheme="minorEastAsia" w:eastAsiaTheme="minorEastAsia"/>
        </w:rPr>
        <w:t>电    话：</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rPr>
        <w:tab/>
      </w:r>
      <w:r>
        <w:rPr>
          <w:rFonts w:hint="eastAsia" w:cs="仿宋" w:asciiTheme="minorEastAsia" w:hAnsiTheme="minorEastAsia" w:eastAsiaTheme="minorEastAsia"/>
        </w:rPr>
        <w:tab/>
      </w:r>
      <w:r>
        <w:rPr>
          <w:rFonts w:hint="eastAsia" w:cs="仿宋" w:asciiTheme="minorEastAsia" w:hAnsiTheme="minorEastAsia"/>
          <w:lang w:val="en-US" w:eastAsia="zh-CN"/>
        </w:rPr>
        <w:t xml:space="preserve">      </w:t>
      </w:r>
      <w:r>
        <w:rPr>
          <w:rFonts w:hint="eastAsia" w:cs="仿宋" w:asciiTheme="minorEastAsia" w:hAnsiTheme="minorEastAsia" w:eastAsiaTheme="minorEastAsia"/>
        </w:rPr>
        <w:t>电    话：</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p>
    <w:p w14:paraId="3DECE610">
      <w:pPr>
        <w:spacing w:line="360" w:lineRule="auto"/>
        <w:rPr>
          <w:rFonts w:cs="仿宋" w:asciiTheme="minorEastAsia" w:hAnsiTheme="minorEastAsia" w:eastAsiaTheme="minorEastAsia"/>
        </w:rPr>
      </w:pPr>
      <w:r>
        <w:rPr>
          <w:rFonts w:hint="eastAsia" w:cs="仿宋" w:asciiTheme="minorEastAsia" w:hAnsiTheme="minorEastAsia" w:eastAsiaTheme="minorEastAsia"/>
        </w:rPr>
        <w:t>传    真：</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rPr>
        <w:tab/>
      </w:r>
      <w:r>
        <w:rPr>
          <w:rFonts w:hint="eastAsia" w:cs="仿宋" w:asciiTheme="minorEastAsia" w:hAnsiTheme="minorEastAsia" w:eastAsiaTheme="minorEastAsia"/>
        </w:rPr>
        <w:tab/>
      </w:r>
      <w:r>
        <w:rPr>
          <w:rFonts w:hint="eastAsia" w:cs="仿宋" w:asciiTheme="minorEastAsia" w:hAnsiTheme="minorEastAsia"/>
          <w:lang w:val="en-US" w:eastAsia="zh-CN"/>
        </w:rPr>
        <w:t xml:space="preserve">      </w:t>
      </w:r>
      <w:r>
        <w:rPr>
          <w:rFonts w:hint="eastAsia" w:cs="仿宋" w:asciiTheme="minorEastAsia" w:hAnsiTheme="minorEastAsia" w:eastAsiaTheme="minorEastAsia"/>
        </w:rPr>
        <w:t>传    真：</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p>
    <w:p w14:paraId="6A999157">
      <w:pPr>
        <w:spacing w:line="360" w:lineRule="auto"/>
        <w:rPr>
          <w:rFonts w:cs="仿宋" w:asciiTheme="minorEastAsia" w:hAnsiTheme="minorEastAsia" w:eastAsiaTheme="minorEastAsia"/>
        </w:rPr>
      </w:pPr>
      <w:r>
        <w:rPr>
          <w:rFonts w:hint="eastAsia" w:cs="仿宋" w:asciiTheme="minorEastAsia" w:hAnsiTheme="minorEastAsia" w:eastAsiaTheme="minorEastAsia"/>
        </w:rPr>
        <w:t>开户银行：</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rPr>
        <w:tab/>
      </w:r>
      <w:r>
        <w:rPr>
          <w:rFonts w:hint="eastAsia" w:cs="仿宋" w:asciiTheme="minorEastAsia" w:hAnsiTheme="minorEastAsia" w:eastAsiaTheme="minorEastAsia"/>
        </w:rPr>
        <w:tab/>
      </w:r>
      <w:r>
        <w:rPr>
          <w:rFonts w:hint="eastAsia" w:cs="仿宋" w:asciiTheme="minorEastAsia" w:hAnsiTheme="minorEastAsia"/>
          <w:lang w:val="en-US" w:eastAsia="zh-CN"/>
        </w:rPr>
        <w:t xml:space="preserve">      </w:t>
      </w:r>
      <w:r>
        <w:rPr>
          <w:rFonts w:hint="eastAsia" w:cs="仿宋" w:asciiTheme="minorEastAsia" w:hAnsiTheme="minorEastAsia" w:eastAsiaTheme="minorEastAsia"/>
        </w:rPr>
        <w:t>开户银行：</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p>
    <w:p w14:paraId="3E74C329">
      <w:pPr>
        <w:spacing w:line="360" w:lineRule="auto"/>
      </w:pPr>
      <w:r>
        <w:rPr>
          <w:rFonts w:hint="eastAsia" w:cs="仿宋" w:asciiTheme="minorEastAsia" w:hAnsiTheme="minorEastAsia" w:eastAsiaTheme="minorEastAsia"/>
        </w:rPr>
        <w:t>银行帐号：</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rPr>
        <w:tab/>
      </w:r>
      <w:r>
        <w:rPr>
          <w:rFonts w:hint="eastAsia" w:cs="仿宋" w:asciiTheme="minorEastAsia" w:hAnsiTheme="minorEastAsia" w:eastAsiaTheme="minorEastAsia"/>
        </w:rPr>
        <w:tab/>
      </w:r>
      <w:r>
        <w:rPr>
          <w:rFonts w:hint="eastAsia" w:cs="仿宋" w:asciiTheme="minorEastAsia" w:hAnsiTheme="minorEastAsia"/>
          <w:lang w:val="en-US" w:eastAsia="zh-CN"/>
        </w:rPr>
        <w:t xml:space="preserve">      </w:t>
      </w:r>
      <w:r>
        <w:rPr>
          <w:rFonts w:hint="eastAsia" w:cs="仿宋" w:asciiTheme="minorEastAsia" w:hAnsiTheme="minorEastAsia" w:eastAsiaTheme="minorEastAsia"/>
        </w:rPr>
        <w:t>银行帐号：</w:t>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r>
        <w:rPr>
          <w:rFonts w:hint="eastAsia" w:cs="仿宋" w:asciiTheme="minorEastAsia" w:hAnsiTheme="minorEastAsia" w:eastAsiaTheme="minorEastAsia"/>
          <w:u w:val="single"/>
        </w:rPr>
        <w:tab/>
      </w:r>
    </w:p>
    <w:p w14:paraId="0AD40E5D">
      <w:pPr>
        <w:pStyle w:val="9"/>
        <w:rPr>
          <w:rFonts w:hint="eastAsia"/>
          <w:sz w:val="20"/>
          <w:szCs w:val="20"/>
          <w:lang w:val="en-US" w:eastAsia="zh-Hans"/>
        </w:rPr>
      </w:pPr>
    </w:p>
    <w:p w14:paraId="6D25247D">
      <w:bookmarkStart w:id="37" w:name="_GoBack"/>
      <w:bookmarkEnd w:id="3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123402"/>
    <w:rsid w:val="14123402"/>
    <w:rsid w:val="2E392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before="340" w:after="33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kern w:val="0"/>
      <w:sz w:val="20"/>
      <w:szCs w:val="24"/>
    </w:rPr>
  </w:style>
  <w:style w:type="paragraph" w:styleId="4">
    <w:name w:val="Plain Text"/>
    <w:basedOn w:val="1"/>
    <w:qFormat/>
    <w:uiPriority w:val="0"/>
    <w:rPr>
      <w:rFonts w:ascii="宋体" w:hAnsi="Courier New"/>
      <w:kern w:val="0"/>
      <w:sz w:val="20"/>
      <w:szCs w:val="21"/>
    </w:rPr>
  </w:style>
  <w:style w:type="character" w:customStyle="1" w:styleId="7">
    <w:name w:val="标题 1 Char"/>
    <w:link w:val="2"/>
    <w:qFormat/>
    <w:uiPriority w:val="0"/>
    <w:rPr>
      <w:b/>
      <w:bCs/>
      <w:kern w:val="44"/>
      <w:sz w:val="44"/>
      <w:szCs w:val="44"/>
    </w:rPr>
  </w:style>
  <w:style w:type="paragraph" w:customStyle="1" w:styleId="8">
    <w:name w:val="※正文"/>
    <w:basedOn w:val="1"/>
    <w:next w:val="1"/>
    <w:qFormat/>
    <w:uiPriority w:val="0"/>
    <w:pPr>
      <w:wordWrap w:val="0"/>
    </w:pPr>
    <w:rPr>
      <w:rFonts w:cstheme="minorBidi"/>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2025-04-03T10:00:00Z</dcterms:created>
  <dc:creator> Are you crazy？</dc:creator>
  <cp:lastModifiedBy> Are you crazy？</cp:lastModifiedBy>
  <dcterms:modified xsi:type="dcterms:W3CDTF">2025-04-03T10:00:48Z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6E2F4E5FD54245758A06FAC0FDA7204A_11</vt:lpwstr>
  </property>
  <property fmtid="{D5CDD505-2E9C-101B-9397-08002B2CF9AE}" pid="4" name="KSOTemplateDocerSaveRecord">
    <vt:lpwstr>eyJoZGlkIjoiMTczNWNjYWQ2MjE5OGRjMzNiZDE2NjA0YzljZjI1MzMiLCJ1c2VySWQiOiI5ODczNjQzNTgifQ==</vt:lpwstr>
  </property>
</Properties>
</file>