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版本号：HXZK2025ZC043000120250507001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陕西省高速公路堵漏综合治理电子报送运行服务项目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HXZK2025ZC0430001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陕西省高速公路堵漏综合治理电子报送运行服务项目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HXZK2025ZC0430001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陕西省高速公路堵漏综合治理电子报送运行服务项目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保障我省堵漏综合治理数据能够按时、高效汇总及报送。按照国家信息安全等级保护制度要求，结合省中心稽核业务实际情况，开展陕西省高速公路堵漏综合治理电子报送运行等工作。堵漏综合治理信息报送有系统配置、数据查看、数据填报、统计中心、图表分析、个人中心等功能模块，各管理单位可登录系统填报、查看、导出本单位各类堵漏综合治理数据，省中心可以查看、导出全省各类堵漏综合治理数据。该系统部署于陕西交通云平台，系统架构为B/S 架构，运行环境为Windows Server，运维模式为远程操作。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采购包1（陕西省高速公路堵漏综合治理电子报送运行服务项目）：属于专门面向小微企业采购。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谈判全过程：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3、财务状况：提供 2023 年度或 2024 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9、非联合体响应：本采购包不接受联合体响应，供应商提供非联合体响应承诺书。供应商需在项目电子化交易系统中按要求上传相应证明文件并进行电子签章。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苗老师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陕西省高速公路收费中心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华夏正康工程技术有限公司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我省堵漏综合治理数据能够按时、高效汇总及报送。按照国家信息安全等级保护制度要求，结合省中心稽核业务实际情况，开展陕西省高速公路堵漏综合治理电子报送运行等工作。堵漏综合治理信息报送有系统配置、数据查看、数据填报、统计中心、图表分析、个人中心等功能模块，各管理单位可登录系统填报、查看、导出本单位各类堵漏综合治理数据，省中心可以查看、导出全省各类堵漏综合治理数据。该系统部署于陕西交通云平台，系统架构为B/S 架构，运行环境为Windows Server，运维模式为远程操作。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陕西省高速公路堵漏综合治理电子报送运行服务项目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标的名称：陕西省高速公路堵漏综合治理电子报送运行服务项目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一、服务要求</w:t>
            </w:r>
          </w:p>
          <w:p>
            <w:pPr>
              <w:pStyle w:val="null3"/>
              <w:ind w:firstLine="400"/>
            </w:pPr>
            <w:r>
              <w:rPr>
                <w:rFonts w:ascii="仿宋_GB2312" w:hAnsi="仿宋_GB2312" w:cs="仿宋_GB2312" w:eastAsia="仿宋_GB2312"/>
              </w:rPr>
              <w:t>为保障我省堵漏综合治理数据能够按时、高效汇总及报送。按照国家信息安全等级保护制度要求，结合省中心稽核业务实际情况，开展陕西省高速公路堵漏综合治理电子报送运行等工作。</w:t>
            </w:r>
          </w:p>
          <w:p>
            <w:pPr>
              <w:pStyle w:val="null3"/>
              <w:ind w:firstLine="400"/>
            </w:pPr>
            <w:r>
              <w:rPr>
                <w:rFonts w:ascii="仿宋_GB2312" w:hAnsi="仿宋_GB2312" w:cs="仿宋_GB2312" w:eastAsia="仿宋_GB2312"/>
              </w:rPr>
              <w:t>由于收费稽核工作涉及环节多，覆盖面广，且相关业务仍在不断优化过程中，故供应商必须对收费稽核业务较为熟悉且能及时完成数据报送优化调整，在充分理解现状的情况下提供完善的堵漏综合治理报送服务。</w:t>
            </w:r>
          </w:p>
          <w:p>
            <w:pPr>
              <w:pStyle w:val="null3"/>
              <w:ind w:firstLine="400"/>
            </w:pPr>
            <w:r>
              <w:rPr>
                <w:rFonts w:ascii="仿宋_GB2312" w:hAnsi="仿宋_GB2312" w:cs="仿宋_GB2312" w:eastAsia="仿宋_GB2312"/>
              </w:rPr>
              <w:t>（一）堵漏综合治理报送服务工作范围</w:t>
            </w:r>
          </w:p>
          <w:p>
            <w:pPr>
              <w:pStyle w:val="null3"/>
              <w:ind w:firstLine="400"/>
            </w:pPr>
            <w:r>
              <w:rPr>
                <w:rFonts w:ascii="仿宋_GB2312" w:hAnsi="仿宋_GB2312" w:cs="仿宋_GB2312" w:eastAsia="仿宋_GB2312"/>
              </w:rPr>
              <w:t>1.</w:t>
            </w:r>
            <w:r>
              <w:rPr>
                <w:rFonts w:ascii="仿宋_GB2312" w:hAnsi="仿宋_GB2312" w:cs="仿宋_GB2312" w:eastAsia="仿宋_GB2312"/>
              </w:rPr>
              <w:t>服务范围</w:t>
            </w:r>
          </w:p>
          <w:p>
            <w:pPr>
              <w:pStyle w:val="null3"/>
              <w:ind w:firstLine="400"/>
            </w:pPr>
            <w:r>
              <w:rPr>
                <w:rFonts w:ascii="仿宋_GB2312" w:hAnsi="仿宋_GB2312" w:cs="仿宋_GB2312" w:eastAsia="仿宋_GB2312"/>
              </w:rPr>
              <w:t>本次逃费综合治理数据报送服务的范围为全省高速公路各运营单位。</w:t>
            </w:r>
          </w:p>
          <w:p>
            <w:pPr>
              <w:pStyle w:val="null3"/>
              <w:ind w:firstLine="400"/>
            </w:pPr>
            <w:r>
              <w:rPr>
                <w:rFonts w:ascii="仿宋_GB2312" w:hAnsi="仿宋_GB2312" w:cs="仿宋_GB2312" w:eastAsia="仿宋_GB2312"/>
              </w:rPr>
              <w:t>（二）堵漏综合治理数据报送服务工作内容</w:t>
            </w:r>
          </w:p>
          <w:p>
            <w:pPr>
              <w:pStyle w:val="null3"/>
              <w:ind w:firstLine="400"/>
            </w:pPr>
            <w:r>
              <w:rPr>
                <w:rFonts w:ascii="仿宋_GB2312" w:hAnsi="仿宋_GB2312" w:cs="仿宋_GB2312" w:eastAsia="仿宋_GB2312"/>
              </w:rPr>
              <w:t>1.</w:t>
            </w:r>
            <w:r>
              <w:rPr>
                <w:rFonts w:ascii="仿宋_GB2312" w:hAnsi="仿宋_GB2312" w:cs="仿宋_GB2312" w:eastAsia="仿宋_GB2312"/>
              </w:rPr>
              <w:t>系统运维服务。做好陕西省高速公路堵漏综合治理电子报送系统进行日常维护、系统升级，做好该系统等保测评及日常网络安全漏洞排查等工作。</w:t>
            </w:r>
          </w:p>
          <w:p>
            <w:pPr>
              <w:pStyle w:val="null3"/>
              <w:ind w:firstLine="400"/>
            </w:pPr>
            <w:r>
              <w:rPr>
                <w:rFonts w:ascii="仿宋_GB2312" w:hAnsi="仿宋_GB2312" w:cs="仿宋_GB2312" w:eastAsia="仿宋_GB2312"/>
              </w:rPr>
              <w:t>2.</w:t>
            </w:r>
            <w:r>
              <w:rPr>
                <w:rFonts w:ascii="仿宋_GB2312" w:hAnsi="仿宋_GB2312" w:cs="仿宋_GB2312" w:eastAsia="仿宋_GB2312"/>
              </w:rPr>
              <w:t>数据备份服务。做好陕西省高速公路堵漏综合治理电子报送系统产生的各类型数据备份工作，确保数据安全可靠。</w:t>
            </w:r>
          </w:p>
          <w:p>
            <w:pPr>
              <w:pStyle w:val="null3"/>
              <w:ind w:firstLine="400"/>
            </w:pPr>
            <w:r>
              <w:rPr>
                <w:rFonts w:ascii="仿宋_GB2312" w:hAnsi="仿宋_GB2312" w:cs="仿宋_GB2312" w:eastAsia="仿宋_GB2312"/>
              </w:rPr>
              <w:t>3.</w:t>
            </w:r>
            <w:r>
              <w:rPr>
                <w:rFonts w:ascii="仿宋_GB2312" w:hAnsi="仿宋_GB2312" w:cs="仿宋_GB2312" w:eastAsia="仿宋_GB2312"/>
              </w:rPr>
              <w:t>应急响应。做好陕西省高速公路堵漏综合治理电子报送系统日常故障维修、重大节假日应急值班、网络安全攻防演练防守值班值守。</w:t>
            </w:r>
          </w:p>
          <w:p>
            <w:pPr>
              <w:pStyle w:val="null3"/>
              <w:ind w:firstLine="400"/>
            </w:pPr>
            <w:r>
              <w:rPr>
                <w:rFonts w:ascii="仿宋_GB2312" w:hAnsi="仿宋_GB2312" w:cs="仿宋_GB2312" w:eastAsia="仿宋_GB2312"/>
              </w:rPr>
              <w:t>（三）服务成果要求</w:t>
            </w:r>
          </w:p>
          <w:p>
            <w:pPr>
              <w:pStyle w:val="null3"/>
              <w:ind w:firstLine="400"/>
            </w:pPr>
            <w:r>
              <w:rPr>
                <w:rFonts w:ascii="仿宋_GB2312" w:hAnsi="仿宋_GB2312" w:cs="仿宋_GB2312" w:eastAsia="仿宋_GB2312"/>
              </w:rPr>
              <w:t>本服务项目的交付物包含但不限于以下内容：</w:t>
            </w:r>
          </w:p>
          <w:p>
            <w:pPr>
              <w:pStyle w:val="null3"/>
              <w:ind w:firstLine="400"/>
            </w:pPr>
            <w:r>
              <w:rPr>
                <w:rFonts w:ascii="仿宋_GB2312" w:hAnsi="仿宋_GB2312" w:cs="仿宋_GB2312" w:eastAsia="仿宋_GB2312"/>
              </w:rPr>
              <w:t>1.</w:t>
            </w:r>
            <w:r>
              <w:rPr>
                <w:rFonts w:ascii="仿宋_GB2312" w:hAnsi="仿宋_GB2312" w:cs="仿宋_GB2312" w:eastAsia="仿宋_GB2312"/>
              </w:rPr>
              <w:t>《项目总体验收报告》</w:t>
            </w:r>
          </w:p>
          <w:p>
            <w:pPr>
              <w:pStyle w:val="null3"/>
              <w:ind w:firstLine="400"/>
            </w:pPr>
            <w:r>
              <w:rPr>
                <w:rFonts w:ascii="仿宋_GB2312" w:hAnsi="仿宋_GB2312" w:cs="仿宋_GB2312" w:eastAsia="仿宋_GB2312"/>
              </w:rPr>
              <w:t>2.</w:t>
            </w:r>
            <w:r>
              <w:rPr>
                <w:rFonts w:ascii="仿宋_GB2312" w:hAnsi="仿宋_GB2312" w:cs="仿宋_GB2312" w:eastAsia="仿宋_GB2312"/>
              </w:rPr>
              <w:t>《月度陕西省高速公路堵漏综合治理数据汇总表》</w:t>
            </w:r>
          </w:p>
          <w:p>
            <w:pPr>
              <w:pStyle w:val="null3"/>
              <w:ind w:firstLine="400"/>
            </w:pPr>
            <w:r>
              <w:rPr>
                <w:rFonts w:ascii="仿宋_GB2312" w:hAnsi="仿宋_GB2312" w:cs="仿宋_GB2312" w:eastAsia="仿宋_GB2312"/>
              </w:rPr>
              <w:t>3.</w:t>
            </w:r>
            <w:r>
              <w:rPr>
                <w:rFonts w:ascii="仿宋_GB2312" w:hAnsi="仿宋_GB2312" w:cs="仿宋_GB2312" w:eastAsia="仿宋_GB2312"/>
              </w:rPr>
              <w:t>《月度数据报送运维报告》</w:t>
            </w:r>
          </w:p>
          <w:p>
            <w:pPr>
              <w:pStyle w:val="null3"/>
              <w:ind w:firstLine="400"/>
            </w:pPr>
            <w:r>
              <w:rPr>
                <w:rFonts w:ascii="仿宋_GB2312" w:hAnsi="仿宋_GB2312" w:cs="仿宋_GB2312" w:eastAsia="仿宋_GB2312"/>
              </w:rPr>
              <w:t>4.</w:t>
            </w:r>
            <w:r>
              <w:rPr>
                <w:rFonts w:ascii="仿宋_GB2312" w:hAnsi="仿宋_GB2312" w:cs="仿宋_GB2312" w:eastAsia="仿宋_GB2312"/>
              </w:rPr>
              <w:t>《月度数据备份报告》</w:t>
            </w:r>
          </w:p>
          <w:p>
            <w:pPr>
              <w:pStyle w:val="null3"/>
              <w:ind w:firstLine="400"/>
            </w:pPr>
            <w:r>
              <w:rPr>
                <w:rFonts w:ascii="仿宋_GB2312" w:hAnsi="仿宋_GB2312" w:cs="仿宋_GB2312" w:eastAsia="仿宋_GB2312"/>
              </w:rPr>
              <w:t>5.</w:t>
            </w:r>
            <w:r>
              <w:rPr>
                <w:rFonts w:ascii="仿宋_GB2312" w:hAnsi="仿宋_GB2312" w:cs="仿宋_GB2312" w:eastAsia="仿宋_GB2312"/>
              </w:rPr>
              <w:t>及其他需要的报告或者材料。</w:t>
            </w:r>
          </w:p>
          <w:p>
            <w:pPr>
              <w:pStyle w:val="null3"/>
              <w:ind w:firstLine="400"/>
            </w:pPr>
            <w:r>
              <w:rPr>
                <w:rFonts w:ascii="仿宋_GB2312" w:hAnsi="仿宋_GB2312" w:cs="仿宋_GB2312" w:eastAsia="仿宋_GB2312"/>
              </w:rPr>
              <w:t>（四）因供应商原因，服务期间未及时发现、处置安全警告信息，造成发生网络安全事件的，按相关规定赔付违约金。</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二、本项工作编制依据有：《陕西省交通运输厅关于转发省编办&lt;陕西省交通运输厅所属事业单位整合机构精简编制规范管理方案&gt;的通知》 (陕交发〔2016〕68 号)、《交通运输部路网监测与应急处置中心关于进一步加强通行费稽核业务规范性的函》（交路网函〔2023〕61 号）、《收费公路联网收费运营和服务规程（2020）》及《陕西省高速公路联网收费及路网运行工作通报》。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1.供应商应提供至少一名计算机类或软件类高级工程师员工的证书。 2.省中心有权对供应商派入人员的资格和相关信息进行审核。</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保密要求：项目实施过程中所收集、产生的所有与本项目相关文档、资料，包括文字、图片、表格、数字等各种形式所属权均归属省中心，供应商必须对所涉及到的内容保密，应按照要求签署保密协议。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 年 6 月 1 日至 2026 年 5 月 31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合同签订后支付65%合同款项，供应商须向甲方出具合法有效的完税发票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剩余35%合同款项按照月度支付服务费，满足服务期限的第一个月后，供应商须向甲方出具合法有效的完税发票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剩余35%合同款项按照月度支付服务费，满足服务期限的第二个月后，供应商须向甲方出具合法有效的完税发票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剩余35%合同款项按照月度支付服务费，满足服务期限的第三个月后，供应商须向甲方出具合法有效的完税发票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剩余35%合同款项按照月度支付服务费，满足服务期限的第四个月后，供应商须向甲方出具合法有效的完税发票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剩余35%合同款项按照月度支付服务费，满足服务期限的第五个月后，供应商须向甲方出具合法有效的完税发票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剩余35%合同款项按照月度支付服务费，满足服务期限的第六个月后，供应商须向甲方出具合法有效的完税发票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剩余35%合同款项按照月度支付服务费，满足服务期限的第七个月后，供应商须向甲方出具合法有效的完税发票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剩余35%合同款项按照月度支付服务费，满足服务期限的第八个月后，供应商须向甲方出具合法有效的完税发票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剩余35%合同款项按照月度支付服务费，满足服务期限的第九个月后，供应商须向甲方出具合法有效的完税发票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剩余35%合同款项按照月度支付服务费，满足服务期限的第十个月后，供应商须向甲方出具合法有效的完税发票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剩余35%合同款项按照月度支付服务费，满足服务期限的第十一个月后，供应商须向甲方出具合法有效的完税发票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剩余35%合同款项按照月度支付服务费，满足服务期限的第十二个月后，供应商须向甲方出具合法有效的完税发票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年度或 2024 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非联合体响应</w:t>
            </w:r>
          </w:p>
        </w:tc>
        <w:tc>
          <w:tcPr>
            <w:tcW w:type="dxa" w:w="3322"/>
          </w:tcPr>
          <w:p>
            <w:pPr>
              <w:pStyle w:val="null3"/>
            </w:pPr>
            <w:r>
              <w:rPr>
                <w:rFonts w:ascii="仿宋_GB2312" w:hAnsi="仿宋_GB2312" w:cs="仿宋_GB2312" w:eastAsia="仿宋_GB2312"/>
              </w:rPr>
              <w:t>本采购包不接受联合体响应，供应商提供非联合体响应承诺书。供应商需在项目电子化交易系统中按要求上传相应证明文件并进行电子签章。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残疾人福利性单位声明函 小微企业声明函.docx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商务应答表 分项报价明细表.docx 报价表 小微企业声明函.docx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响应文件有效期达到谈判文件的要求。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符合谈判文件中规定的技术、服务、商务要求。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符合谈判文件规定的其他实质性要求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服务内容及服务邀请应答表 商务应答表 分项报价明细表.docx 报价表 小微企业声明函.docx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详见附件：小微企业声明函.docx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