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版本号：HXZK2025ZC042400320250506001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12122热线运行维护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HXZK2025ZC0424003</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12122热线运行维护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12122热线运行维护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12122热线全年24小时不间断运行，负责受理交通信息咨询，转达行业投诉举报和意见建议，协调转达求助信息。为确保12122热线系统运行平稳，需开展年度软硬件维护。该项目预算为84.3万元，由12122热线系统软件运行维护、12122热线系统硬件设备运行维护、其他运维服务和其他费用四部分内容组成。 陕西交通服务热线12122主要以高速公路为主，向全社会提供一站式交通信息服务，为公众提供高速公路应急救援求助、交通运输信息咨询、转达行业投诉和建议意见等。 陕西交通服务热线12122系统包括业务系统和话务系统。12122业务系统为自建，话务系统基于原有96166系统架构进行升级。升级后，复用96166与12122原有设备设施，包括4楼机房设备、5至6楼坐席工位终端电脑、话机、耳麦、网络等。由供应商负责提供12122热线系统平台软件系统维护、硬件设备、网络以及监控系统的维护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采购包1（12122热线运行维护）：属于专门面向中小企业采购。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符合现行国家相关标准、行业标准及采购人要求，按季度向采购人提交阶段服务报告。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12122热线全年24小时不间断运行，负责受理交通信息咨询，转达行业投诉举报和意见建议，协调转达求助信息。为确保12122热线系统运行平稳，需开展年度软硬件维护。该项目预算为84.3万元，由12122热线系统软件运行维护、12122热线系统硬件设备运行维护、其他运维服务和其他费用四部分内容组成。 陕西交通服务热线12122主要以高速公路为主，向全社会提供一站式交通信息服务，为公众提供高速公路应急救援求助、交通运输信息咨询、转达行业投诉和建议意见等。 陕西交通服务热线12122系统包括业务系统和话务系统。12122业务系统为自建，话务系统基于原有96166系统架构进行升级。升级后，复用96166与12122原有设备设施，包括4楼机房设备、5至6楼坐席工位终端电脑、话机、耳麦、网络等。由供应商负责提供12122热线系统平台软件系统维护、硬件设备、网络以及监控系统的维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843,000.00</w:t>
      </w:r>
    </w:p>
    <w:p>
      <w:pPr>
        <w:pStyle w:val="null3"/>
      </w:pPr>
      <w:r>
        <w:rPr>
          <w:rFonts w:ascii="仿宋_GB2312" w:hAnsi="仿宋_GB2312" w:cs="仿宋_GB2312" w:eastAsia="仿宋_GB2312"/>
        </w:rPr>
        <w:t>采购包最高限价（元）: 843,000.00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12122热线运行维护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标的名称：12122热线运行维护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一、</w:t>
            </w:r>
            <w:r>
              <w:rPr>
                <w:rFonts w:ascii="仿宋_GB2312" w:hAnsi="仿宋_GB2312" w:cs="仿宋_GB2312" w:eastAsia="仿宋_GB2312"/>
              </w:rPr>
              <w:t>服务</w:t>
            </w:r>
            <w:r>
              <w:rPr>
                <w:rFonts w:ascii="仿宋_GB2312" w:hAnsi="仿宋_GB2312" w:cs="仿宋_GB2312" w:eastAsia="仿宋_GB2312"/>
              </w:rPr>
              <w:t>内容</w:t>
            </w:r>
            <w:r>
              <w:rPr>
                <w:rFonts w:ascii="仿宋_GB2312" w:hAnsi="仿宋_GB2312" w:cs="仿宋_GB2312" w:eastAsia="仿宋_GB2312"/>
              </w:rPr>
              <w:t>：</w:t>
            </w:r>
          </w:p>
          <w:p>
            <w:pPr>
              <w:pStyle w:val="null3"/>
              <w:ind w:firstLine="400"/>
            </w:pPr>
            <w:r>
              <w:rPr>
                <w:rFonts w:ascii="仿宋_GB2312" w:hAnsi="仿宋_GB2312" w:cs="仿宋_GB2312" w:eastAsia="仿宋_GB2312"/>
              </w:rPr>
              <w:t>（一）</w:t>
            </w:r>
            <w:r>
              <w:rPr>
                <w:rFonts w:ascii="仿宋_GB2312" w:hAnsi="仿宋_GB2312" w:cs="仿宋_GB2312" w:eastAsia="仿宋_GB2312"/>
              </w:rPr>
              <w:t>12122热线系统软件运行维护</w:t>
            </w:r>
          </w:p>
          <w:p>
            <w:pPr>
              <w:pStyle w:val="null3"/>
              <w:ind w:firstLine="400"/>
            </w:pPr>
            <w:r>
              <w:rPr>
                <w:rFonts w:ascii="仿宋_GB2312" w:hAnsi="仿宋_GB2312" w:cs="仿宋_GB2312" w:eastAsia="仿宋_GB2312"/>
              </w:rPr>
              <w:t>包括业务系统、话务系统及语音导航系统等软件的稳定运行状态日常监测和维护工作，配合重大活动的临时保障工作。</w:t>
            </w:r>
          </w:p>
          <w:p>
            <w:pPr>
              <w:pStyle w:val="null3"/>
              <w:ind w:firstLine="400"/>
            </w:pPr>
            <w:r>
              <w:rPr>
                <w:rFonts w:ascii="仿宋_GB2312" w:hAnsi="仿宋_GB2312" w:cs="仿宋_GB2312" w:eastAsia="仿宋_GB2312"/>
              </w:rPr>
              <w:t>（二）</w:t>
            </w:r>
            <w:r>
              <w:rPr>
                <w:rFonts w:ascii="仿宋_GB2312" w:hAnsi="仿宋_GB2312" w:cs="仿宋_GB2312" w:eastAsia="仿宋_GB2312"/>
              </w:rPr>
              <w:t>12122热线硬件设备运行维护</w:t>
            </w:r>
          </w:p>
          <w:p>
            <w:pPr>
              <w:pStyle w:val="null3"/>
              <w:ind w:firstLine="400"/>
            </w:pPr>
            <w:r>
              <w:rPr>
                <w:rFonts w:ascii="仿宋_GB2312" w:hAnsi="仿宋_GB2312" w:cs="仿宋_GB2312" w:eastAsia="仿宋_GB2312"/>
              </w:rPr>
              <w:t>1．机房设备运行维护：提供4楼机房超融合一体机、超融合交换机、汇聚交换机、接入交换机、代理服务器、语音网关、 内存条、机柜、光猫的日常维护、安全巡检（包括不限于用户、权限、口令等检查）、检修工作，根据检查结果及时更新优化；对发现故障进行排查、处理并记录；故障件维修期间，提供备件临时应急使用，避免因维修故障期间硬件设备长时间停机对业务正常使用造成影响，确保 12122 热线系统正常运行。</w:t>
            </w:r>
          </w:p>
          <w:p>
            <w:pPr>
              <w:pStyle w:val="null3"/>
              <w:ind w:firstLine="400"/>
            </w:pPr>
            <w:r>
              <w:rPr>
                <w:rFonts w:ascii="仿宋_GB2312" w:hAnsi="仿宋_GB2312" w:cs="仿宋_GB2312" w:eastAsia="仿宋_GB2312"/>
              </w:rPr>
              <w:t>2．监控设备运行维护：提供 5 楼 12122 座席区域 2 台监控摄像头、1 台硬盘录像机、1 台监控显示器的硬件及监控软件系统日常维护、故障响应及维修服务，包括设备巡检、调 试、配置、保养、故障维护、检修和配件更换及材料费用。</w:t>
            </w:r>
          </w:p>
          <w:p>
            <w:pPr>
              <w:pStyle w:val="null3"/>
              <w:ind w:firstLine="400"/>
            </w:pPr>
            <w:r>
              <w:rPr>
                <w:rFonts w:ascii="仿宋_GB2312" w:hAnsi="仿宋_GB2312" w:cs="仿宋_GB2312" w:eastAsia="仿宋_GB2312"/>
              </w:rPr>
              <w:t>3．座席设备运行维护：提供 5 楼、6 楼 12122 坐席区域 包含台式电脑103台、IP话机60台以及座席耳麦60套设备日常维护、故障响应和检修工作。</w:t>
            </w:r>
          </w:p>
          <w:p>
            <w:pPr>
              <w:pStyle w:val="null3"/>
              <w:ind w:firstLine="400"/>
            </w:pPr>
            <w:r>
              <w:rPr>
                <w:rFonts w:ascii="仿宋_GB2312" w:hAnsi="仿宋_GB2312" w:cs="仿宋_GB2312" w:eastAsia="仿宋_GB2312"/>
              </w:rPr>
              <w:t>（</w:t>
            </w:r>
            <w:r>
              <w:rPr>
                <w:rFonts w:ascii="仿宋_GB2312" w:hAnsi="仿宋_GB2312" w:cs="仿宋_GB2312" w:eastAsia="仿宋_GB2312"/>
              </w:rPr>
              <w:t>1）台式电脑103台：提供故障响应和维修服务；提供终端系统安全管理，包括漏洞病毒查杀、补丁升级、防护软件安装维护，操作系统维护，系统问题处理、系统及常用软件安装、调试、维护，终端系统操作使用培训、技术支持；提供设备硬件维护、巡检、故障检修、配件更换服务及材料费用。</w:t>
            </w:r>
          </w:p>
          <w:p>
            <w:pPr>
              <w:pStyle w:val="null3"/>
              <w:ind w:firstLine="400"/>
            </w:pPr>
            <w:r>
              <w:rPr>
                <w:rFonts w:ascii="仿宋_GB2312" w:hAnsi="仿宋_GB2312" w:cs="仿宋_GB2312" w:eastAsia="仿宋_GB2312"/>
              </w:rPr>
              <w:t>（</w:t>
            </w:r>
            <w:r>
              <w:rPr>
                <w:rFonts w:ascii="仿宋_GB2312" w:hAnsi="仿宋_GB2312" w:cs="仿宋_GB2312" w:eastAsia="仿宋_GB2312"/>
              </w:rPr>
              <w:t>2）IP话机60台：提供故障响应和维修服务；提供各设备巡检维护服务；话机调试、配置，话机硬件保养、故障维护、检修、处理和更换，内核系统升级（原厂商提供升级版本前提下）所需的人工及材料费。</w:t>
            </w:r>
          </w:p>
          <w:p>
            <w:pPr>
              <w:pStyle w:val="null3"/>
              <w:ind w:firstLine="400"/>
            </w:pPr>
            <w:r>
              <w:rPr>
                <w:rFonts w:ascii="仿宋_GB2312" w:hAnsi="仿宋_GB2312" w:cs="仿宋_GB2312" w:eastAsia="仿宋_GB2312"/>
              </w:rPr>
              <w:t>（</w:t>
            </w:r>
            <w:r>
              <w:rPr>
                <w:rFonts w:ascii="仿宋_GB2312" w:hAnsi="仿宋_GB2312" w:cs="仿宋_GB2312" w:eastAsia="仿宋_GB2312"/>
              </w:rPr>
              <w:t>3）座席耳麦 60 套：座席话务专业耳麦的维护保养、 故障维修、直至更换全新专业耳麦。</w:t>
            </w:r>
          </w:p>
          <w:p>
            <w:pPr>
              <w:pStyle w:val="null3"/>
              <w:ind w:firstLine="400"/>
            </w:pPr>
            <w:r>
              <w:rPr>
                <w:rFonts w:ascii="仿宋_GB2312" w:hAnsi="仿宋_GB2312" w:cs="仿宋_GB2312" w:eastAsia="仿宋_GB2312"/>
              </w:rPr>
              <w:t>4．维护清单：详见附件，12122 软件、硬件设备及网络维护清单。</w:t>
            </w:r>
          </w:p>
          <w:p>
            <w:pPr>
              <w:pStyle w:val="null3"/>
              <w:ind w:firstLine="400"/>
            </w:pPr>
            <w:r>
              <w:rPr>
                <w:rFonts w:ascii="仿宋_GB2312" w:hAnsi="仿宋_GB2312" w:cs="仿宋_GB2312" w:eastAsia="仿宋_GB2312"/>
              </w:rPr>
              <w:t>（三）其他运维服务</w:t>
            </w:r>
          </w:p>
          <w:p>
            <w:pPr>
              <w:pStyle w:val="null3"/>
              <w:ind w:firstLine="400"/>
            </w:pPr>
            <w:r>
              <w:rPr>
                <w:rFonts w:ascii="仿宋_GB2312" w:hAnsi="仿宋_GB2312" w:cs="仿宋_GB2312" w:eastAsia="仿宋_GB2312"/>
              </w:rPr>
              <w:t>1．提供超融合一体机专业服务，购买硬件设备的专业服务以及软件维护专业服务，包含硬件质保、上门服务维修以及配件更换服务等。</w:t>
            </w:r>
          </w:p>
          <w:p>
            <w:pPr>
              <w:pStyle w:val="null3"/>
              <w:ind w:firstLine="400"/>
            </w:pPr>
            <w:r>
              <w:rPr>
                <w:rFonts w:ascii="仿宋_GB2312" w:hAnsi="仿宋_GB2312" w:cs="仿宋_GB2312" w:eastAsia="仿宋_GB2312"/>
              </w:rPr>
              <w:t>2．安全运维服务：主要包含响应网络安全事件、修复发现的漏洞、升级更新补丁、定期审核用户权限、清理僵尸数据、配合应急演练等日常维护；提供 5 楼、6 楼共 163 个网络接入节点日常维护、故障响应及维修服务，包括各网络接入节点、接入网络环境的巡检维护、故障处理、线路调整、终端网络施工和维修服务工作。</w:t>
            </w:r>
          </w:p>
          <w:p>
            <w:pPr>
              <w:pStyle w:val="null3"/>
              <w:ind w:firstLine="400"/>
            </w:pPr>
            <w:r>
              <w:rPr>
                <w:rFonts w:ascii="仿宋_GB2312" w:hAnsi="仿宋_GB2312" w:cs="仿宋_GB2312" w:eastAsia="仿宋_GB2312"/>
              </w:rPr>
              <w:t>（四）与</w:t>
            </w:r>
            <w:r>
              <w:rPr>
                <w:rFonts w:ascii="仿宋_GB2312" w:hAnsi="仿宋_GB2312" w:cs="仿宋_GB2312" w:eastAsia="仿宋_GB2312"/>
              </w:rPr>
              <w:t>12328业务系统对接服务</w:t>
            </w:r>
          </w:p>
          <w:p>
            <w:pPr>
              <w:pStyle w:val="null3"/>
              <w:ind w:firstLine="400"/>
            </w:pPr>
            <w:r>
              <w:rPr>
                <w:rFonts w:ascii="仿宋_GB2312" w:hAnsi="仿宋_GB2312" w:cs="仿宋_GB2312" w:eastAsia="仿宋_GB2312"/>
              </w:rPr>
              <w:t>1．12122与12328业务系统对接，包含软电话对接、外线对接、录音对接以及数据对接工作；</w:t>
            </w:r>
          </w:p>
          <w:p>
            <w:pPr>
              <w:pStyle w:val="null3"/>
              <w:ind w:firstLine="400"/>
            </w:pPr>
            <w:r>
              <w:rPr>
                <w:rFonts w:ascii="仿宋_GB2312" w:hAnsi="仿宋_GB2312" w:cs="仿宋_GB2312" w:eastAsia="仿宋_GB2312"/>
              </w:rPr>
              <w:t>2．话务底层测试联调及上线运行；</w:t>
            </w:r>
          </w:p>
          <w:p>
            <w:pPr>
              <w:pStyle w:val="null3"/>
              <w:ind w:firstLine="400"/>
            </w:pPr>
            <w:r>
              <w:rPr>
                <w:rFonts w:ascii="仿宋_GB2312" w:hAnsi="仿宋_GB2312" w:cs="仿宋_GB2312" w:eastAsia="仿宋_GB2312"/>
              </w:rPr>
              <w:t>3．超融合一体机虚拟化配置，提供12328部署环境。</w:t>
            </w:r>
          </w:p>
          <w:p>
            <w:pPr>
              <w:pStyle w:val="null3"/>
              <w:ind w:firstLine="400"/>
            </w:pPr>
            <w:r>
              <w:rPr>
                <w:rFonts w:ascii="仿宋_GB2312" w:hAnsi="仿宋_GB2312" w:cs="仿宋_GB2312" w:eastAsia="仿宋_GB2312"/>
              </w:rPr>
              <w:t>二、</w:t>
            </w:r>
            <w:r>
              <w:rPr>
                <w:rFonts w:ascii="仿宋_GB2312" w:hAnsi="仿宋_GB2312" w:cs="仿宋_GB2312" w:eastAsia="仿宋_GB2312"/>
              </w:rPr>
              <w:t>服务要求</w:t>
            </w:r>
          </w:p>
          <w:p>
            <w:pPr>
              <w:pStyle w:val="null3"/>
              <w:ind w:firstLine="400"/>
            </w:pPr>
            <w:r>
              <w:rPr>
                <w:rFonts w:ascii="仿宋_GB2312" w:hAnsi="仿宋_GB2312" w:cs="仿宋_GB2312" w:eastAsia="仿宋_GB2312"/>
              </w:rPr>
              <w:t>（一）服务基本要求</w:t>
            </w:r>
          </w:p>
          <w:p>
            <w:pPr>
              <w:pStyle w:val="null3"/>
              <w:ind w:firstLine="400"/>
            </w:pPr>
            <w:r>
              <w:rPr>
                <w:rFonts w:ascii="仿宋_GB2312" w:hAnsi="仿宋_GB2312" w:cs="仿宋_GB2312" w:eastAsia="仿宋_GB2312"/>
              </w:rPr>
              <w:t>1.12122热线系统软件、硬件设备及安全运维服务:</w:t>
            </w:r>
          </w:p>
          <w:p>
            <w:pPr>
              <w:pStyle w:val="null3"/>
              <w:ind w:firstLine="400"/>
            </w:pPr>
            <w:r>
              <w:rPr>
                <w:rFonts w:ascii="仿宋_GB2312" w:hAnsi="仿宋_GB2312" w:cs="仿宋_GB2312" w:eastAsia="仿宋_GB2312"/>
              </w:rPr>
              <w:t>（</w:t>
            </w:r>
            <w:r>
              <w:rPr>
                <w:rFonts w:ascii="仿宋_GB2312" w:hAnsi="仿宋_GB2312" w:cs="仿宋_GB2312" w:eastAsia="仿宋_GB2312"/>
              </w:rPr>
              <w:t>1）技术支持服务</w:t>
            </w:r>
          </w:p>
          <w:p>
            <w:pPr>
              <w:pStyle w:val="null3"/>
              <w:ind w:firstLine="400"/>
            </w:pPr>
            <w:r>
              <w:rPr>
                <w:rFonts w:ascii="仿宋_GB2312" w:hAnsi="仿宋_GB2312" w:cs="仿宋_GB2312" w:eastAsia="仿宋_GB2312"/>
              </w:rPr>
              <w:t>①</w:t>
            </w:r>
            <w:r>
              <w:rPr>
                <w:rFonts w:ascii="仿宋_GB2312" w:hAnsi="仿宋_GB2312" w:cs="仿宋_GB2312" w:eastAsia="仿宋_GB2312"/>
              </w:rPr>
              <w:t>日常运维服务：针对维护范围内的软件系统、硬件设备及网络，提供日常维护、定期巡检、性能测试、故障排查等驻场服务，</w:t>
            </w:r>
            <w:r>
              <w:rPr>
                <w:rFonts w:ascii="仿宋_GB2312" w:hAnsi="仿宋_GB2312" w:cs="仿宋_GB2312" w:eastAsia="仿宋_GB2312"/>
              </w:rPr>
              <w:t>7*24 小时故障响应，及时应答和解决，快速排除故障，确保陕西交通服务热线12122 系统正常稳定运行。</w:t>
            </w:r>
          </w:p>
          <w:p>
            <w:pPr>
              <w:pStyle w:val="null3"/>
              <w:ind w:firstLine="400"/>
            </w:pPr>
            <w:r>
              <w:rPr>
                <w:rFonts w:ascii="仿宋_GB2312" w:hAnsi="仿宋_GB2312" w:cs="仿宋_GB2312" w:eastAsia="仿宋_GB2312"/>
              </w:rPr>
              <w:t>②</w:t>
            </w:r>
            <w:r>
              <w:rPr>
                <w:rFonts w:ascii="仿宋_GB2312" w:hAnsi="仿宋_GB2312" w:cs="仿宋_GB2312" w:eastAsia="仿宋_GB2312"/>
              </w:rPr>
              <w:t>故障响应服务：针对维护范围内的软件系统、硬件设备和网络出现的各类故障及问题，提供</w:t>
            </w:r>
            <w:r>
              <w:rPr>
                <w:rFonts w:ascii="仿宋_GB2312" w:hAnsi="仿宋_GB2312" w:cs="仿宋_GB2312" w:eastAsia="仿宋_GB2312"/>
              </w:rPr>
              <w:t>7*24 小时在线服务。供应商需在30分钟内响应，1小时内提供解决方案，2小时内做出明确响应，非灾难性问题在8 小时内解决，如需现场服务的，具有解决能力的工程师应在24小时内到达现场，解决并做出故障诊断报告。</w:t>
            </w:r>
          </w:p>
          <w:p>
            <w:pPr>
              <w:pStyle w:val="null3"/>
              <w:ind w:firstLine="400"/>
            </w:pPr>
            <w:r>
              <w:rPr>
                <w:rFonts w:ascii="仿宋_GB2312" w:hAnsi="仿宋_GB2312" w:cs="仿宋_GB2312" w:eastAsia="仿宋_GB2312"/>
              </w:rPr>
              <w:t>③</w:t>
            </w:r>
            <w:r>
              <w:rPr>
                <w:rFonts w:ascii="仿宋_GB2312" w:hAnsi="仿宋_GB2312" w:cs="仿宋_GB2312" w:eastAsia="仿宋_GB2312"/>
              </w:rPr>
              <w:t>系统安全服务：针对维护范围内软件系统使用时发现的系统</w:t>
            </w:r>
            <w:r>
              <w:rPr>
                <w:rFonts w:ascii="仿宋_GB2312" w:hAnsi="仿宋_GB2312" w:cs="仿宋_GB2312" w:eastAsia="仿宋_GB2312"/>
              </w:rPr>
              <w:t>BUG、安全漏洞等影响系统安全的问题、硬件设备的安全要求和网络出现的安全问题，供应商除免费提供必要的修复和改进措施之外，还应每月对系统进行安全巡检，根据检查结果及时更新优化；对发现故障进行排查和处理，配合省收费中心完成网络安全整改工作。</w:t>
            </w:r>
          </w:p>
          <w:p>
            <w:pPr>
              <w:pStyle w:val="null3"/>
              <w:ind w:firstLine="400"/>
            </w:pPr>
            <w:r>
              <w:rPr>
                <w:rFonts w:ascii="仿宋_GB2312" w:hAnsi="仿宋_GB2312" w:cs="仿宋_GB2312" w:eastAsia="仿宋_GB2312"/>
              </w:rPr>
              <w:t>④</w:t>
            </w:r>
            <w:r>
              <w:rPr>
                <w:rFonts w:ascii="仿宋_GB2312" w:hAnsi="仿宋_GB2312" w:cs="仿宋_GB2312" w:eastAsia="仿宋_GB2312"/>
              </w:rPr>
              <w:t>技术保障服务：做好重要节假日（春节、清明节、</w:t>
            </w:r>
            <w:r>
              <w:rPr>
                <w:rFonts w:ascii="仿宋_GB2312" w:hAnsi="仿宋_GB2312" w:cs="仿宋_GB2312" w:eastAsia="仿宋_GB2312"/>
              </w:rPr>
              <w:t>劳动节、国庆节等）、重大活动（国家、公安、省厅等护网行动）技术保障服务，配合省收费中心做好漏洞升级工作。应加强值班值守，提供</w:t>
            </w:r>
            <w:r>
              <w:rPr>
                <w:rFonts w:ascii="仿宋_GB2312" w:hAnsi="仿宋_GB2312" w:cs="仿宋_GB2312" w:eastAsia="仿宋_GB2312"/>
              </w:rPr>
              <w:t>7*24小时应急响应服务，确保12122 系统安全稳定运行。</w:t>
            </w:r>
          </w:p>
          <w:p>
            <w:pPr>
              <w:pStyle w:val="null3"/>
              <w:ind w:firstLine="400"/>
            </w:pPr>
            <w:r>
              <w:rPr>
                <w:rFonts w:ascii="仿宋_GB2312" w:hAnsi="仿宋_GB2312" w:cs="仿宋_GB2312" w:eastAsia="仿宋_GB2312"/>
              </w:rPr>
              <w:t>⑤</w:t>
            </w:r>
            <w:r>
              <w:rPr>
                <w:rFonts w:ascii="仿宋_GB2312" w:hAnsi="仿宋_GB2312" w:cs="仿宋_GB2312" w:eastAsia="仿宋_GB2312"/>
              </w:rPr>
              <w:t>系统培训服务：针对维护范围内的系统优化功能有重大变更时，供应商应组织提供必要的培训服务，使系统使用人员能够准确、及时掌握系统及相关信息。</w:t>
            </w:r>
          </w:p>
          <w:p>
            <w:pPr>
              <w:pStyle w:val="null3"/>
              <w:ind w:firstLine="400"/>
            </w:pPr>
            <w:r>
              <w:rPr>
                <w:rFonts w:ascii="仿宋_GB2312" w:hAnsi="仿宋_GB2312" w:cs="仿宋_GB2312" w:eastAsia="仿宋_GB2312"/>
              </w:rPr>
              <w:t>⑥</w:t>
            </w:r>
            <w:r>
              <w:rPr>
                <w:rFonts w:ascii="仿宋_GB2312" w:hAnsi="仿宋_GB2312" w:cs="仿宋_GB2312" w:eastAsia="仿宋_GB2312"/>
              </w:rPr>
              <w:t>服务队伍要求：在服务过程中指定一名具有项目经理相关从业资质的人员，同时具备丰富的项目管理经验，至少</w:t>
            </w:r>
            <w:r>
              <w:rPr>
                <w:rFonts w:ascii="仿宋_GB2312" w:hAnsi="仿宋_GB2312" w:cs="仿宋_GB2312" w:eastAsia="仿宋_GB2312"/>
              </w:rPr>
              <w:t>1个及以上同规模项目的项目经理任职经历，同时应具有预见和应对项目风险的能力；项目组成员需具备灾难恢复工作经验，包括但不限于安全设备管理、日志分析和事件响应等方面，以确保系统连续安全运行；为保证项目的连续性，在项目服务周期内不得随意更换服务人员。</w:t>
            </w:r>
          </w:p>
          <w:p>
            <w:pPr>
              <w:pStyle w:val="null3"/>
              <w:ind w:firstLine="400"/>
            </w:pPr>
            <w:r>
              <w:rPr>
                <w:rFonts w:ascii="仿宋_GB2312" w:hAnsi="仿宋_GB2312" w:cs="仿宋_GB2312" w:eastAsia="仿宋_GB2312"/>
              </w:rPr>
              <w:t>⑦</w:t>
            </w:r>
            <w:r>
              <w:rPr>
                <w:rFonts w:ascii="仿宋_GB2312" w:hAnsi="仿宋_GB2312" w:cs="仿宋_GB2312" w:eastAsia="仿宋_GB2312"/>
              </w:rPr>
              <w:t>记录与报告：对运维服务、故障处理结果做好维护记录，每月提交日常巡检记录单、故障处理记录（若本月无故障可不提供）以及维护确认单；项目运维期结束后，供应商应提供全年运维巡检记录单及全年运维报告。</w:t>
            </w:r>
          </w:p>
          <w:p>
            <w:pPr>
              <w:pStyle w:val="null3"/>
              <w:ind w:firstLine="400"/>
            </w:pPr>
            <w:r>
              <w:rPr>
                <w:rFonts w:ascii="仿宋_GB2312" w:hAnsi="仿宋_GB2312" w:cs="仿宋_GB2312" w:eastAsia="仿宋_GB2312"/>
              </w:rPr>
              <w:t>2.超融合一体机专业服务：</w:t>
            </w:r>
          </w:p>
          <w:p>
            <w:pPr>
              <w:pStyle w:val="null3"/>
              <w:ind w:firstLine="400"/>
            </w:pPr>
            <w:r>
              <w:rPr>
                <w:rFonts w:ascii="仿宋_GB2312" w:hAnsi="仿宋_GB2312" w:cs="仿宋_GB2312" w:eastAsia="仿宋_GB2312"/>
              </w:rPr>
              <w:t>（</w:t>
            </w:r>
            <w:r>
              <w:rPr>
                <w:rFonts w:ascii="仿宋_GB2312" w:hAnsi="仿宋_GB2312" w:cs="仿宋_GB2312" w:eastAsia="仿宋_GB2312"/>
              </w:rPr>
              <w:t>1）远程支持服务：提供7*24小时远程问题处理服务, 就有关设备或网络的技术咨询及问题，进行远程技术支持和处理，并提供问题解决方案。</w:t>
            </w:r>
          </w:p>
          <w:p>
            <w:pPr>
              <w:pStyle w:val="null3"/>
              <w:ind w:firstLine="400"/>
            </w:pPr>
            <w:r>
              <w:rPr>
                <w:rFonts w:ascii="仿宋_GB2312" w:hAnsi="仿宋_GB2312" w:cs="仿宋_GB2312" w:eastAsia="仿宋_GB2312"/>
              </w:rPr>
              <w:t>（</w:t>
            </w:r>
            <w:r>
              <w:rPr>
                <w:rFonts w:ascii="仿宋_GB2312" w:hAnsi="仿宋_GB2312" w:cs="仿宋_GB2312" w:eastAsia="仿宋_GB2312"/>
              </w:rPr>
              <w:t>2）硬件支持服务:提供硬件维修与配件更换服务。</w:t>
            </w:r>
          </w:p>
          <w:p>
            <w:pPr>
              <w:pStyle w:val="null3"/>
              <w:ind w:firstLine="400"/>
            </w:pPr>
            <w:r>
              <w:rPr>
                <w:rFonts w:ascii="仿宋_GB2312" w:hAnsi="仿宋_GB2312" w:cs="仿宋_GB2312" w:eastAsia="仿宋_GB2312"/>
              </w:rPr>
              <w:t>（</w:t>
            </w:r>
            <w:r>
              <w:rPr>
                <w:rFonts w:ascii="仿宋_GB2312" w:hAnsi="仿宋_GB2312" w:cs="仿宋_GB2312" w:eastAsia="仿宋_GB2312"/>
              </w:rPr>
              <w:t>3）现场服务:硬件故障和设备问题不能通过远程方式解决，工程师到达现场，现场进行问题处理，包括信息收集、问题分析、故障诊断、方案实施、紧急问题恢复等以及硬件更换服务。</w:t>
            </w:r>
          </w:p>
          <w:p>
            <w:pPr>
              <w:pStyle w:val="null3"/>
              <w:ind w:firstLine="400"/>
            </w:pPr>
            <w:r>
              <w:rPr>
                <w:rFonts w:ascii="仿宋_GB2312" w:hAnsi="仿宋_GB2312" w:cs="仿宋_GB2312" w:eastAsia="仿宋_GB2312"/>
              </w:rPr>
              <w:t>3.与12328 业务系统对接要求</w:t>
            </w:r>
          </w:p>
          <w:p>
            <w:pPr>
              <w:pStyle w:val="null3"/>
              <w:ind w:firstLine="400"/>
            </w:pPr>
            <w:r>
              <w:rPr>
                <w:rFonts w:ascii="仿宋_GB2312" w:hAnsi="仿宋_GB2312" w:cs="仿宋_GB2312" w:eastAsia="仿宋_GB2312"/>
              </w:rPr>
              <w:t>（</w:t>
            </w:r>
            <w:r>
              <w:rPr>
                <w:rFonts w:ascii="仿宋_GB2312" w:hAnsi="仿宋_GB2312" w:cs="仿宋_GB2312" w:eastAsia="仿宋_GB2312"/>
              </w:rPr>
              <w:t>1）12122与12328业务系统对接，实现12328系统与12122软电话平台的对接，确保呼叫可以通过软电话进行接入、 转接和处理；通话录音数据能在12328 系统中有效存储并能够进行查询与回放；12328系统话务数据统计数据（如话务量、服务质量、客户反馈等）能无缝对接，实现实时分析与报表生成。</w:t>
            </w:r>
          </w:p>
          <w:p>
            <w:pPr>
              <w:pStyle w:val="null3"/>
              <w:ind w:firstLine="400"/>
            </w:pPr>
            <w:r>
              <w:rPr>
                <w:rFonts w:ascii="仿宋_GB2312" w:hAnsi="仿宋_GB2312" w:cs="仿宋_GB2312" w:eastAsia="仿宋_GB2312"/>
              </w:rPr>
              <w:t>（</w:t>
            </w:r>
            <w:r>
              <w:rPr>
                <w:rFonts w:ascii="仿宋_GB2312" w:hAnsi="仿宋_GB2312" w:cs="仿宋_GB2312" w:eastAsia="仿宋_GB2312"/>
              </w:rPr>
              <w:t>2）话务底层测试联调及上线，确保系统稳定并能够承载业务量。</w:t>
            </w:r>
          </w:p>
          <w:p>
            <w:pPr>
              <w:pStyle w:val="null3"/>
              <w:ind w:firstLine="400"/>
            </w:pPr>
            <w:r>
              <w:rPr>
                <w:rFonts w:ascii="仿宋_GB2312" w:hAnsi="仿宋_GB2312" w:cs="仿宋_GB2312" w:eastAsia="仿宋_GB2312"/>
              </w:rPr>
              <w:t>（</w:t>
            </w:r>
            <w:r>
              <w:rPr>
                <w:rFonts w:ascii="仿宋_GB2312" w:hAnsi="仿宋_GB2312" w:cs="仿宋_GB2312" w:eastAsia="仿宋_GB2312"/>
              </w:rPr>
              <w:t>3）根据12328业务需求，合理配置计算、存储和网络资源，配置超融一体机虚拟化，确保12328部署环境能够高效运行。</w:t>
            </w:r>
          </w:p>
          <w:p>
            <w:pPr>
              <w:pStyle w:val="null3"/>
              <w:ind w:firstLine="400"/>
            </w:pPr>
            <w:r>
              <w:rPr>
                <w:rFonts w:ascii="仿宋_GB2312" w:hAnsi="仿宋_GB2312" w:cs="仿宋_GB2312" w:eastAsia="仿宋_GB2312"/>
              </w:rPr>
              <w:t>附件</w:t>
            </w:r>
            <w:r>
              <w:rPr>
                <w:rFonts w:ascii="仿宋_GB2312" w:hAnsi="仿宋_GB2312" w:cs="仿宋_GB2312" w:eastAsia="仿宋_GB2312"/>
              </w:rPr>
              <w:t>1：</w:t>
            </w:r>
            <w:r>
              <w:rPr>
                <w:rFonts w:ascii="仿宋_GB2312" w:hAnsi="仿宋_GB2312" w:cs="仿宋_GB2312" w:eastAsia="仿宋_GB2312"/>
              </w:rPr>
              <w:t>12122</w:t>
            </w:r>
            <w:r>
              <w:rPr>
                <w:rFonts w:ascii="仿宋_GB2312" w:hAnsi="仿宋_GB2312" w:cs="仿宋_GB2312" w:eastAsia="仿宋_GB2312"/>
              </w:rPr>
              <w:t>热线软件维护清单</w:t>
            </w:r>
          </w:p>
          <w:tbl>
            <w:tblPr>
              <w:tblInd w:type="dxa" w:w="495"/>
              <w:tblBorders>
                <w:top w:val="none" w:color="000000" w:sz="4"/>
                <w:left w:val="none" w:color="000000" w:sz="4"/>
                <w:bottom w:val="none" w:color="000000" w:sz="4"/>
                <w:right w:val="none" w:color="000000" w:sz="4"/>
                <w:insideH w:val="none"/>
                <w:insideV w:val="none"/>
              </w:tblBorders>
            </w:tblPr>
            <w:tblGrid>
              <w:gridCol w:w="220"/>
              <w:gridCol w:w="281"/>
              <w:gridCol w:w="243"/>
              <w:gridCol w:w="319"/>
              <w:gridCol w:w="250"/>
              <w:gridCol w:w="258"/>
              <w:gridCol w:w="957"/>
            </w:tblGrid>
            <w:tr>
              <w:tc>
                <w:tcPr>
                  <w:tcW w:type="dxa" w:w="220"/>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ind w:left="120"/>
                    <w:jc w:val="both"/>
                  </w:pPr>
                  <w:r>
                    <w:rPr>
                      <w:rFonts w:ascii="仿宋_GB2312" w:hAnsi="仿宋_GB2312" w:cs="仿宋_GB2312" w:eastAsia="仿宋_GB2312"/>
                      <w:sz w:val="20"/>
                      <w:b/>
                    </w:rPr>
                    <w:t>序号</w:t>
                  </w:r>
                </w:p>
              </w:tc>
              <w:tc>
                <w:tcPr>
                  <w:tcW w:type="dxa" w:w="281"/>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系统</w:t>
                  </w:r>
                </w:p>
                <w:p>
                  <w:pPr>
                    <w:pStyle w:val="null3"/>
                    <w:spacing w:before="180"/>
                    <w:jc w:val="center"/>
                  </w:pPr>
                  <w:r>
                    <w:rPr>
                      <w:rFonts w:ascii="仿宋_GB2312" w:hAnsi="仿宋_GB2312" w:cs="仿宋_GB2312" w:eastAsia="仿宋_GB2312"/>
                      <w:sz w:val="20"/>
                      <w:b/>
                    </w:rPr>
                    <w:t>名称</w:t>
                  </w:r>
                </w:p>
              </w:tc>
              <w:tc>
                <w:tcPr>
                  <w:tcW w:type="dxa" w:w="243"/>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类别</w:t>
                  </w:r>
                </w:p>
              </w:tc>
              <w:tc>
                <w:tcPr>
                  <w:tcW w:type="dxa" w:w="319"/>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名称</w:t>
                  </w:r>
                </w:p>
              </w:tc>
              <w:tc>
                <w:tcPr>
                  <w:tcW w:type="dxa" w:w="250"/>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数量</w:t>
                  </w:r>
                </w:p>
              </w:tc>
              <w:tc>
                <w:tcPr>
                  <w:tcW w:type="dxa" w:w="258"/>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单位</w:t>
                  </w:r>
                </w:p>
              </w:tc>
              <w:tc>
                <w:tcPr>
                  <w:tcW w:type="dxa" w:w="957"/>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备注</w:t>
                  </w:r>
                </w:p>
              </w:tc>
            </w:tr>
            <w:tr>
              <w:tc>
                <w:tcPr>
                  <w:tcW w:type="dxa" w:w="22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200"/>
                    <w:jc w:val="both"/>
                  </w:pPr>
                  <w:r>
                    <w:rPr>
                      <w:rFonts w:ascii="仿宋_GB2312" w:hAnsi="仿宋_GB2312" w:cs="仿宋_GB2312" w:eastAsia="仿宋_GB2312"/>
                      <w:sz w:val="20"/>
                    </w:rPr>
                    <w:t>1</w:t>
                  </w:r>
                </w:p>
              </w:tc>
              <w:tc>
                <w:tcPr>
                  <w:tcW w:type="dxa" w:w="28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陕西交通服</w:t>
                  </w:r>
                  <w:r>
                    <w:rPr>
                      <w:rFonts w:ascii="仿宋_GB2312" w:hAnsi="仿宋_GB2312" w:cs="仿宋_GB2312" w:eastAsia="仿宋_GB2312"/>
                      <w:sz w:val="20"/>
                    </w:rPr>
                    <w:t>务热线</w:t>
                  </w:r>
                </w:p>
                <w:p>
                  <w:pPr>
                    <w:pStyle w:val="null3"/>
                    <w:spacing w:before="180"/>
                    <w:jc w:val="center"/>
                  </w:pPr>
                  <w:r>
                    <w:rPr>
                      <w:rFonts w:ascii="仿宋_GB2312" w:hAnsi="仿宋_GB2312" w:cs="仿宋_GB2312" w:eastAsia="仿宋_GB2312"/>
                      <w:sz w:val="20"/>
                    </w:rPr>
                    <w:t>12122系统</w:t>
                  </w:r>
                </w:p>
              </w:tc>
              <w:tc>
                <w:tcPr>
                  <w:tcW w:type="dxa" w:w="243"/>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软件</w:t>
                  </w:r>
                </w:p>
                <w:p>
                  <w:pPr>
                    <w:pStyle w:val="null3"/>
                    <w:spacing w:before="75"/>
                    <w:jc w:val="center"/>
                  </w:pPr>
                  <w:r>
                    <w:rPr>
                      <w:rFonts w:ascii="仿宋_GB2312" w:hAnsi="仿宋_GB2312" w:cs="仿宋_GB2312" w:eastAsia="仿宋_GB2312"/>
                      <w:sz w:val="20"/>
                    </w:rPr>
                    <w:t>系统</w:t>
                  </w:r>
                </w:p>
              </w:tc>
              <w:tc>
                <w:tcPr>
                  <w:tcW w:type="dxa" w:w="3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数据库</w:t>
                  </w:r>
                </w:p>
              </w:tc>
              <w:tc>
                <w:tcPr>
                  <w:tcW w:type="dxa" w:w="25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套</w:t>
                  </w:r>
                </w:p>
              </w:tc>
              <w:tc>
                <w:tcPr>
                  <w:tcW w:type="dxa" w:w="95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jc w:val="both"/>
                  </w:pPr>
                  <w:r>
                    <w:rPr>
                      <w:rFonts w:ascii="仿宋_GB2312" w:hAnsi="仿宋_GB2312" w:cs="仿宋_GB2312" w:eastAsia="仿宋_GB2312"/>
                      <w:sz w:val="20"/>
                    </w:rPr>
                    <w:t>MySQL一主一备</w:t>
                  </w:r>
                </w:p>
              </w:tc>
            </w:tr>
            <w:tr>
              <w:tc>
                <w:tcPr>
                  <w:tcW w:type="dxa" w:w="22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200"/>
                    <w:jc w:val="both"/>
                  </w:pPr>
                  <w:r>
                    <w:rPr>
                      <w:rFonts w:ascii="仿宋_GB2312" w:hAnsi="仿宋_GB2312" w:cs="仿宋_GB2312" w:eastAsia="仿宋_GB2312"/>
                      <w:sz w:val="20"/>
                    </w:rPr>
                    <w:t>2</w:t>
                  </w:r>
                </w:p>
              </w:tc>
              <w:tc>
                <w:tcPr>
                  <w:tcW w:type="dxa" w:w="281"/>
                  <w:vMerge/>
                  <w:tcBorders>
                    <w:top w:val="none" w:color="000000" w:sz="4"/>
                    <w:left w:val="single" w:color="000000" w:sz="8"/>
                    <w:bottom w:val="none" w:color="000000" w:sz="4"/>
                    <w:right w:val="single" w:color="000000" w:sz="8"/>
                  </w:tcBorders>
                </w:tcPr>
                <w:p/>
              </w:tc>
              <w:tc>
                <w:tcPr>
                  <w:tcW w:type="dxa" w:w="243"/>
                  <w:vMerge/>
                  <w:tcBorders>
                    <w:top w:val="none" w:color="000000" w:sz="4"/>
                    <w:left w:val="single" w:color="000000" w:sz="8"/>
                    <w:bottom w:val="none" w:color="000000" w:sz="4"/>
                    <w:right w:val="single" w:color="000000" w:sz="8"/>
                  </w:tcBorders>
                </w:tcPr>
                <w:p/>
              </w:tc>
              <w:tc>
                <w:tcPr>
                  <w:tcW w:type="dxa" w:w="3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文件</w:t>
                  </w:r>
                </w:p>
                <w:p>
                  <w:pPr>
                    <w:pStyle w:val="null3"/>
                    <w:spacing w:before="120"/>
                    <w:jc w:val="center"/>
                  </w:pPr>
                  <w:r>
                    <w:rPr>
                      <w:rFonts w:ascii="仿宋_GB2312" w:hAnsi="仿宋_GB2312" w:cs="仿宋_GB2312" w:eastAsia="仿宋_GB2312"/>
                      <w:sz w:val="20"/>
                    </w:rPr>
                    <w:t>存储</w:t>
                  </w:r>
                </w:p>
              </w:tc>
              <w:tc>
                <w:tcPr>
                  <w:tcW w:type="dxa" w:w="25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95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jc w:val="both"/>
                  </w:pPr>
                  <w:r>
                    <w:rPr>
                      <w:rFonts w:ascii="仿宋_GB2312" w:hAnsi="仿宋_GB2312" w:cs="仿宋_GB2312" w:eastAsia="仿宋_GB2312"/>
                      <w:sz w:val="20"/>
                    </w:rPr>
                    <w:t>Minio一主一备</w:t>
                  </w:r>
                </w:p>
              </w:tc>
            </w:tr>
            <w:tr>
              <w:tc>
                <w:tcPr>
                  <w:tcW w:type="dxa" w:w="22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281"/>
                  <w:vMerge/>
                  <w:tcBorders>
                    <w:top w:val="none" w:color="000000" w:sz="4"/>
                    <w:left w:val="single" w:color="000000" w:sz="8"/>
                    <w:bottom w:val="none" w:color="000000" w:sz="4"/>
                    <w:right w:val="single" w:color="000000" w:sz="8"/>
                  </w:tcBorders>
                </w:tcPr>
                <w:p/>
              </w:tc>
              <w:tc>
                <w:tcPr>
                  <w:tcW w:type="dxa" w:w="243"/>
                  <w:vMerge/>
                  <w:tcBorders>
                    <w:top w:val="none" w:color="000000" w:sz="4"/>
                    <w:left w:val="single" w:color="000000" w:sz="8"/>
                    <w:bottom w:val="none" w:color="000000" w:sz="4"/>
                    <w:right w:val="single" w:color="000000" w:sz="8"/>
                  </w:tcBorders>
                </w:tcPr>
                <w:p/>
              </w:tc>
              <w:tc>
                <w:tcPr>
                  <w:tcW w:type="dxa" w:w="3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中间件</w:t>
                  </w:r>
                </w:p>
              </w:tc>
              <w:tc>
                <w:tcPr>
                  <w:tcW w:type="dxa" w:w="25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16</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台</w:t>
                  </w:r>
                </w:p>
              </w:tc>
              <w:tc>
                <w:tcPr>
                  <w:tcW w:type="dxa" w:w="95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jc w:val="left"/>
                  </w:pPr>
                  <w:r>
                    <w:rPr>
                      <w:rFonts w:ascii="仿宋_GB2312" w:hAnsi="仿宋_GB2312" w:cs="仿宋_GB2312" w:eastAsia="仿宋_GB2312"/>
                      <w:sz w:val="20"/>
                    </w:rPr>
                    <w:t>Nignx：3台；</w:t>
                  </w:r>
                </w:p>
                <w:p>
                  <w:pPr>
                    <w:pStyle w:val="null3"/>
                    <w:spacing w:before="120"/>
                    <w:ind w:firstLine="99"/>
                    <w:jc w:val="left"/>
                  </w:pPr>
                  <w:r>
                    <w:rPr>
                      <w:rFonts w:ascii="仿宋_GB2312" w:hAnsi="仿宋_GB2312" w:cs="仿宋_GB2312" w:eastAsia="仿宋_GB2312"/>
                      <w:sz w:val="20"/>
                    </w:rPr>
                    <w:t>Harbor：1台；</w:t>
                  </w:r>
                </w:p>
                <w:p>
                  <w:pPr>
                    <w:pStyle w:val="null3"/>
                    <w:spacing w:before="120"/>
                    <w:ind w:firstLine="99"/>
                    <w:jc w:val="left"/>
                  </w:pPr>
                  <w:r>
                    <w:rPr>
                      <w:rFonts w:ascii="仿宋_GB2312" w:hAnsi="仿宋_GB2312" w:cs="仿宋_GB2312" w:eastAsia="仿宋_GB2312"/>
                      <w:sz w:val="20"/>
                    </w:rPr>
                    <w:t>Redis：2台；</w:t>
                  </w:r>
                </w:p>
                <w:p>
                  <w:pPr>
                    <w:pStyle w:val="null3"/>
                    <w:spacing w:before="195"/>
                    <w:ind w:firstLine="95"/>
                    <w:jc w:val="left"/>
                  </w:pPr>
                  <w:r>
                    <w:rPr>
                      <w:rFonts w:ascii="仿宋_GB2312" w:hAnsi="仿宋_GB2312" w:cs="仿宋_GB2312" w:eastAsia="仿宋_GB2312"/>
                      <w:sz w:val="20"/>
                    </w:rPr>
                    <w:t>Elasticsearch：3台；</w:t>
                  </w:r>
                </w:p>
                <w:p>
                  <w:pPr>
                    <w:pStyle w:val="null3"/>
                    <w:spacing w:before="195"/>
                    <w:ind w:firstLine="95"/>
                    <w:jc w:val="left"/>
                  </w:pPr>
                  <w:r>
                    <w:rPr>
                      <w:rFonts w:ascii="仿宋_GB2312" w:hAnsi="仿宋_GB2312" w:cs="仿宋_GB2312" w:eastAsia="仿宋_GB2312"/>
                      <w:sz w:val="20"/>
                    </w:rPr>
                    <w:t>Apollo：1台；</w:t>
                  </w:r>
                </w:p>
                <w:p>
                  <w:pPr>
                    <w:pStyle w:val="null3"/>
                    <w:spacing w:before="195"/>
                    <w:ind w:firstLine="95"/>
                    <w:jc w:val="left"/>
                  </w:pPr>
                  <w:r>
                    <w:rPr>
                      <w:rFonts w:ascii="仿宋_GB2312" w:hAnsi="仿宋_GB2312" w:cs="仿宋_GB2312" w:eastAsia="仿宋_GB2312"/>
                      <w:sz w:val="20"/>
                    </w:rPr>
                    <w:t>Tomcat：</w:t>
                  </w:r>
                  <w:r>
                    <w:rPr>
                      <w:rFonts w:ascii="仿宋_GB2312" w:hAnsi="仿宋_GB2312" w:cs="仿宋_GB2312" w:eastAsia="仿宋_GB2312"/>
                      <w:sz w:val="20"/>
                    </w:rPr>
                    <w:t>4台；</w:t>
                  </w:r>
                </w:p>
                <w:p>
                  <w:pPr>
                    <w:pStyle w:val="null3"/>
                    <w:spacing w:before="195"/>
                    <w:ind w:firstLine="99"/>
                    <w:jc w:val="left"/>
                  </w:pPr>
                  <w:r>
                    <w:rPr>
                      <w:rFonts w:ascii="仿宋_GB2312" w:hAnsi="仿宋_GB2312" w:cs="仿宋_GB2312" w:eastAsia="仿宋_GB2312"/>
                      <w:sz w:val="20"/>
                    </w:rPr>
                    <w:t>Eureka：1台；</w:t>
                  </w:r>
                </w:p>
                <w:p>
                  <w:pPr>
                    <w:pStyle w:val="null3"/>
                    <w:spacing w:before="195"/>
                    <w:ind w:firstLine="99"/>
                    <w:jc w:val="left"/>
                  </w:pPr>
                  <w:r>
                    <w:rPr>
                      <w:rFonts w:ascii="仿宋_GB2312" w:hAnsi="仿宋_GB2312" w:cs="仿宋_GB2312" w:eastAsia="仿宋_GB2312"/>
                      <w:sz w:val="20"/>
                    </w:rPr>
                    <w:t>Kabana：1台。</w:t>
                  </w:r>
                </w:p>
                <w:p>
                  <w:pPr>
                    <w:pStyle w:val="null3"/>
                    <w:spacing w:before="180"/>
                    <w:ind w:firstLine="99"/>
                    <w:jc w:val="left"/>
                  </w:pPr>
                  <w:r>
                    <w:rPr>
                      <w:rFonts w:ascii="仿宋_GB2312" w:hAnsi="仿宋_GB2312" w:cs="仿宋_GB2312" w:eastAsia="仿宋_GB2312"/>
                      <w:sz w:val="20"/>
                    </w:rPr>
                    <w:t>（话务系统及业务系统所依赖的所有中间件）</w:t>
                  </w:r>
                </w:p>
              </w:tc>
            </w:tr>
            <w:tr>
              <w:tc>
                <w:tcPr>
                  <w:tcW w:type="dxa" w:w="22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200"/>
                    <w:jc w:val="both"/>
                  </w:pPr>
                  <w:r>
                    <w:rPr>
                      <w:rFonts w:ascii="仿宋_GB2312" w:hAnsi="仿宋_GB2312" w:cs="仿宋_GB2312" w:eastAsia="仿宋_GB2312"/>
                      <w:sz w:val="20"/>
                    </w:rPr>
                    <w:t>4</w:t>
                  </w:r>
                </w:p>
              </w:tc>
              <w:tc>
                <w:tcPr>
                  <w:tcW w:type="dxa" w:w="281"/>
                  <w:vMerge/>
                  <w:tcBorders>
                    <w:top w:val="none" w:color="000000" w:sz="4"/>
                    <w:left w:val="single" w:color="000000" w:sz="8"/>
                    <w:bottom w:val="none" w:color="000000" w:sz="4"/>
                    <w:right w:val="single" w:color="000000" w:sz="8"/>
                  </w:tcBorders>
                </w:tcPr>
                <w:p/>
              </w:tc>
              <w:tc>
                <w:tcPr>
                  <w:tcW w:type="dxa" w:w="243"/>
                  <w:vMerge/>
                  <w:tcBorders>
                    <w:top w:val="none" w:color="000000" w:sz="4"/>
                    <w:left w:val="single" w:color="000000" w:sz="8"/>
                    <w:bottom w:val="none" w:color="000000" w:sz="4"/>
                    <w:right w:val="single" w:color="000000" w:sz="8"/>
                  </w:tcBorders>
                </w:tcPr>
                <w:p/>
              </w:tc>
              <w:tc>
                <w:tcPr>
                  <w:tcW w:type="dxa" w:w="3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话务</w:t>
                  </w:r>
                </w:p>
                <w:p>
                  <w:pPr>
                    <w:pStyle w:val="null3"/>
                    <w:spacing w:before="120"/>
                    <w:jc w:val="center"/>
                  </w:pPr>
                  <w:r>
                    <w:rPr>
                      <w:rFonts w:ascii="仿宋_GB2312" w:hAnsi="仿宋_GB2312" w:cs="仿宋_GB2312" w:eastAsia="仿宋_GB2312"/>
                      <w:sz w:val="20"/>
                    </w:rPr>
                    <w:t>系统</w:t>
                  </w:r>
                </w:p>
              </w:tc>
              <w:tc>
                <w:tcPr>
                  <w:tcW w:type="dxa" w:w="25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套</w:t>
                  </w:r>
                </w:p>
              </w:tc>
              <w:tc>
                <w:tcPr>
                  <w:tcW w:type="dxa" w:w="95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一主一备</w:t>
                  </w:r>
                </w:p>
              </w:tc>
            </w:tr>
            <w:tr>
              <w:tc>
                <w:tcPr>
                  <w:tcW w:type="dxa" w:w="22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270"/>
                    <w:ind w:firstLine="200"/>
                    <w:jc w:val="both"/>
                  </w:pPr>
                  <w:r>
                    <w:rPr>
                      <w:rFonts w:ascii="仿宋_GB2312" w:hAnsi="仿宋_GB2312" w:cs="仿宋_GB2312" w:eastAsia="仿宋_GB2312"/>
                      <w:sz w:val="20"/>
                    </w:rPr>
                    <w:t>5</w:t>
                  </w:r>
                </w:p>
              </w:tc>
              <w:tc>
                <w:tcPr>
                  <w:tcW w:type="dxa" w:w="281"/>
                  <w:vMerge/>
                  <w:tcBorders>
                    <w:top w:val="none" w:color="000000" w:sz="4"/>
                    <w:left w:val="single" w:color="000000" w:sz="8"/>
                    <w:bottom w:val="none" w:color="000000" w:sz="4"/>
                    <w:right w:val="single" w:color="000000" w:sz="8"/>
                  </w:tcBorders>
                </w:tcPr>
                <w:p/>
              </w:tc>
              <w:tc>
                <w:tcPr>
                  <w:tcW w:type="dxa" w:w="243"/>
                  <w:vMerge/>
                  <w:tcBorders>
                    <w:top w:val="none" w:color="000000" w:sz="4"/>
                    <w:left w:val="single" w:color="000000" w:sz="8"/>
                    <w:bottom w:val="none" w:color="000000" w:sz="4"/>
                    <w:right w:val="single" w:color="000000" w:sz="8"/>
                  </w:tcBorders>
                </w:tcPr>
                <w:p/>
              </w:tc>
              <w:tc>
                <w:tcPr>
                  <w:tcW w:type="dxa" w:w="3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业务</w:t>
                  </w:r>
                </w:p>
                <w:p>
                  <w:pPr>
                    <w:pStyle w:val="null3"/>
                    <w:spacing w:before="270"/>
                    <w:jc w:val="center"/>
                  </w:pPr>
                  <w:r>
                    <w:rPr>
                      <w:rFonts w:ascii="仿宋_GB2312" w:hAnsi="仿宋_GB2312" w:cs="仿宋_GB2312" w:eastAsia="仿宋_GB2312"/>
                      <w:sz w:val="20"/>
                    </w:rPr>
                    <w:t>系统</w:t>
                  </w:r>
                </w:p>
              </w:tc>
              <w:tc>
                <w:tcPr>
                  <w:tcW w:type="dxa" w:w="250"/>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1</w:t>
                  </w:r>
                </w:p>
              </w:tc>
              <w:tc>
                <w:tcPr>
                  <w:tcW w:type="dxa" w:w="25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rPr>
                    <w:t>套</w:t>
                  </w:r>
                </w:p>
              </w:tc>
              <w:tc>
                <w:tcPr>
                  <w:tcW w:type="dxa" w:w="957"/>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p>
              </w:tc>
            </w:tr>
          </w:tbl>
          <w:p>
            <w:pPr>
              <w:pStyle w:val="null3"/>
            </w:pPr>
            <w:r>
              <w:rPr>
                <w:rFonts w:ascii="仿宋_GB2312" w:hAnsi="仿宋_GB2312" w:cs="仿宋_GB2312" w:eastAsia="仿宋_GB2312"/>
              </w:rPr>
              <w:t>附件</w:t>
            </w:r>
            <w:r>
              <w:rPr>
                <w:rFonts w:ascii="仿宋_GB2312" w:hAnsi="仿宋_GB2312" w:cs="仿宋_GB2312" w:eastAsia="仿宋_GB2312"/>
              </w:rPr>
              <w:t>2：12122热线硬件设备及网络维护清单</w:t>
            </w:r>
          </w:p>
          <w:tbl>
            <w:tblPr>
              <w:tblInd w:type="dxa" w:w="495"/>
              <w:tblBorders>
                <w:top w:val="none" w:color="000000" w:sz="4"/>
                <w:left w:val="none" w:color="000000" w:sz="4"/>
                <w:bottom w:val="none" w:color="000000" w:sz="4"/>
                <w:right w:val="none" w:color="000000" w:sz="4"/>
                <w:insideH w:val="none"/>
                <w:insideV w:val="none"/>
              </w:tblBorders>
            </w:tblPr>
            <w:tblGrid>
              <w:gridCol w:w="196"/>
              <w:gridCol w:w="241"/>
              <w:gridCol w:w="120"/>
              <w:gridCol w:w="241"/>
              <w:gridCol w:w="1102"/>
              <w:gridCol w:w="219"/>
              <w:gridCol w:w="188"/>
              <w:gridCol w:w="196"/>
            </w:tblGrid>
            <w:tr>
              <w:tc>
                <w:tcPr>
                  <w:tcW w:type="dxa" w:w="196"/>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序号</w:t>
                  </w:r>
                </w:p>
              </w:tc>
              <w:tc>
                <w:tcPr>
                  <w:tcW w:type="dxa" w:w="241"/>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系统</w:t>
                  </w:r>
                </w:p>
                <w:p>
                  <w:pPr>
                    <w:pStyle w:val="null3"/>
                    <w:spacing w:before="180"/>
                    <w:jc w:val="center"/>
                  </w:pPr>
                  <w:r>
                    <w:rPr>
                      <w:rFonts w:ascii="仿宋_GB2312" w:hAnsi="仿宋_GB2312" w:cs="仿宋_GB2312" w:eastAsia="仿宋_GB2312"/>
                      <w:sz w:val="20"/>
                      <w:b/>
                    </w:rPr>
                    <w:t>名称</w:t>
                  </w:r>
                </w:p>
              </w:tc>
              <w:tc>
                <w:tcPr>
                  <w:tcW w:type="dxa" w:w="120"/>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类别</w:t>
                  </w:r>
                </w:p>
              </w:tc>
              <w:tc>
                <w:tcPr>
                  <w:tcW w:type="dxa" w:w="241"/>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名称</w:t>
                  </w:r>
                </w:p>
              </w:tc>
              <w:tc>
                <w:tcPr>
                  <w:tcW w:type="dxa" w:w="1102"/>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品牌型号</w:t>
                  </w:r>
                </w:p>
              </w:tc>
              <w:tc>
                <w:tcPr>
                  <w:tcW w:type="dxa" w:w="219"/>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数量</w:t>
                  </w:r>
                </w:p>
              </w:tc>
              <w:tc>
                <w:tcPr>
                  <w:tcW w:type="dxa" w:w="188"/>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单位</w:t>
                  </w:r>
                </w:p>
              </w:tc>
              <w:tc>
                <w:tcPr>
                  <w:tcW w:type="dxa" w:w="196"/>
                  <w:tcBorders>
                    <w:top w:val="single" w:color="000000" w:sz="8"/>
                    <w:left w:val="single" w:color="000000" w:sz="8"/>
                    <w:bottom w:val="single" w:color="000000" w:sz="8"/>
                    <w:right w:val="single" w:color="000000" w:sz="8"/>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0"/>
                      <w:b/>
                    </w:rPr>
                    <w:t>合计</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c>
                <w:tcPr>
                  <w:tcW w:type="dxa" w:w="24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陕西交通服</w:t>
                  </w:r>
                  <w:r>
                    <w:rPr>
                      <w:rFonts w:ascii="仿宋_GB2312" w:hAnsi="仿宋_GB2312" w:cs="仿宋_GB2312" w:eastAsia="仿宋_GB2312"/>
                      <w:sz w:val="20"/>
                    </w:rPr>
                    <w:t>务热线</w:t>
                  </w:r>
                </w:p>
                <w:p>
                  <w:pPr>
                    <w:pStyle w:val="null3"/>
                    <w:spacing w:before="180"/>
                    <w:jc w:val="center"/>
                  </w:pPr>
                  <w:r>
                    <w:rPr>
                      <w:rFonts w:ascii="仿宋_GB2312" w:hAnsi="仿宋_GB2312" w:cs="仿宋_GB2312" w:eastAsia="仿宋_GB2312"/>
                      <w:sz w:val="20"/>
                    </w:rPr>
                    <w:t>12122系统</w:t>
                  </w:r>
                </w:p>
              </w:tc>
              <w:tc>
                <w:tcPr>
                  <w:tcW w:type="dxa" w:w="120"/>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机房设备</w:t>
                  </w: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超融</w:t>
                  </w:r>
                </w:p>
                <w:p>
                  <w:pPr>
                    <w:pStyle w:val="null3"/>
                    <w:spacing w:before="105"/>
                    <w:jc w:val="center"/>
                  </w:pPr>
                  <w:r>
                    <w:rPr>
                      <w:rFonts w:ascii="仿宋_GB2312" w:hAnsi="仿宋_GB2312" w:cs="仿宋_GB2312" w:eastAsia="仿宋_GB2312"/>
                      <w:sz w:val="20"/>
                    </w:rPr>
                    <w:t>合一</w:t>
                  </w:r>
                </w:p>
                <w:p>
                  <w:pPr>
                    <w:pStyle w:val="null3"/>
                    <w:spacing w:before="105"/>
                    <w:jc w:val="center"/>
                  </w:pPr>
                  <w:r>
                    <w:rPr>
                      <w:rFonts w:ascii="仿宋_GB2312" w:hAnsi="仿宋_GB2312" w:cs="仿宋_GB2312" w:eastAsia="仿宋_GB2312"/>
                      <w:sz w:val="20"/>
                    </w:rPr>
                    <w:t>体机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ind w:firstLine="100"/>
                    <w:jc w:val="both"/>
                  </w:pPr>
                  <w:r>
                    <w:rPr>
                      <w:rFonts w:ascii="仿宋_GB2312" w:hAnsi="仿宋_GB2312" w:cs="仿宋_GB2312" w:eastAsia="仿宋_GB2312"/>
                      <w:sz w:val="20"/>
                    </w:rPr>
                    <w:t>华为</w:t>
                  </w:r>
                  <w:r>
                    <w:rPr>
                      <w:rFonts w:ascii="仿宋_GB2312" w:hAnsi="仿宋_GB2312" w:cs="仿宋_GB2312" w:eastAsia="仿宋_GB2312"/>
                      <w:sz w:val="20"/>
                    </w:rPr>
                    <w:t>E9000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套</w:t>
                  </w:r>
                </w:p>
              </w:tc>
              <w:tc>
                <w:tcPr>
                  <w:tcW w:type="dxa" w:w="196"/>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超融</w:t>
                  </w:r>
                </w:p>
                <w:p>
                  <w:pPr>
                    <w:pStyle w:val="null3"/>
                    <w:spacing w:before="105"/>
                    <w:jc w:val="center"/>
                  </w:pPr>
                  <w:r>
                    <w:rPr>
                      <w:rFonts w:ascii="仿宋_GB2312" w:hAnsi="仿宋_GB2312" w:cs="仿宋_GB2312" w:eastAsia="仿宋_GB2312"/>
                      <w:sz w:val="20"/>
                    </w:rPr>
                    <w:t>合交</w:t>
                  </w:r>
                </w:p>
                <w:p>
                  <w:pPr>
                    <w:pStyle w:val="null3"/>
                    <w:spacing w:before="105"/>
                    <w:jc w:val="center"/>
                  </w:pPr>
                  <w:r>
                    <w:rPr>
                      <w:rFonts w:ascii="仿宋_GB2312" w:hAnsi="仿宋_GB2312" w:cs="仿宋_GB2312" w:eastAsia="仿宋_GB2312"/>
                      <w:sz w:val="20"/>
                    </w:rPr>
                    <w:t>换机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left"/>
                  </w:pPr>
                  <w:r>
                    <w:rPr>
                      <w:rFonts w:ascii="仿宋_GB2312" w:hAnsi="仿宋_GB2312" w:cs="仿宋_GB2312" w:eastAsia="仿宋_GB2312"/>
                      <w:sz w:val="20"/>
                    </w:rPr>
                    <w:t>华为</w:t>
                  </w:r>
                  <w:r>
                    <w:rPr>
                      <w:rFonts w:ascii="仿宋_GB2312" w:hAnsi="仿宋_GB2312" w:cs="仿宋_GB2312" w:eastAsia="仿宋_GB2312"/>
                      <w:sz w:val="20"/>
                    </w:rPr>
                    <w:t>CE6855-48S6Q-HI</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3</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汇聚</w:t>
                  </w:r>
                </w:p>
                <w:p>
                  <w:pPr>
                    <w:pStyle w:val="null3"/>
                    <w:spacing w:before="120"/>
                    <w:jc w:val="center"/>
                  </w:pPr>
                  <w:r>
                    <w:rPr>
                      <w:rFonts w:ascii="仿宋_GB2312" w:hAnsi="仿宋_GB2312" w:cs="仿宋_GB2312" w:eastAsia="仿宋_GB2312"/>
                      <w:sz w:val="20"/>
                    </w:rPr>
                    <w:t>交换</w:t>
                  </w:r>
                </w:p>
                <w:p>
                  <w:pPr>
                    <w:pStyle w:val="null3"/>
                    <w:spacing w:before="120"/>
                    <w:jc w:val="center"/>
                  </w:pPr>
                  <w:r>
                    <w:rPr>
                      <w:rFonts w:ascii="仿宋_GB2312" w:hAnsi="仿宋_GB2312" w:cs="仿宋_GB2312" w:eastAsia="仿宋_GB2312"/>
                      <w:sz w:val="20"/>
                    </w:rPr>
                    <w:t>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left"/>
                  </w:pPr>
                  <w:r>
                    <w:rPr>
                      <w:rFonts w:ascii="仿宋_GB2312" w:hAnsi="仿宋_GB2312" w:cs="仿宋_GB2312" w:eastAsia="仿宋_GB2312"/>
                      <w:sz w:val="20"/>
                    </w:rPr>
                    <w:t>华为</w:t>
                  </w:r>
                  <w:r>
                    <w:rPr>
                      <w:rFonts w:ascii="仿宋_GB2312" w:hAnsi="仿宋_GB2312" w:cs="仿宋_GB2312" w:eastAsia="仿宋_GB2312"/>
                      <w:sz w:val="20"/>
                    </w:rPr>
                    <w:t>5720S-28X-SI-AC</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4</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代理</w:t>
                  </w:r>
                </w:p>
                <w:p>
                  <w:pPr>
                    <w:pStyle w:val="null3"/>
                    <w:spacing w:before="120"/>
                    <w:jc w:val="center"/>
                  </w:pPr>
                  <w:r>
                    <w:rPr>
                      <w:rFonts w:ascii="仿宋_GB2312" w:hAnsi="仿宋_GB2312" w:cs="仿宋_GB2312" w:eastAsia="仿宋_GB2312"/>
                      <w:sz w:val="20"/>
                    </w:rPr>
                    <w:t>服务</w:t>
                  </w:r>
                </w:p>
                <w:p>
                  <w:pPr>
                    <w:pStyle w:val="null3"/>
                    <w:spacing w:before="120"/>
                    <w:jc w:val="center"/>
                  </w:pPr>
                  <w:r>
                    <w:rPr>
                      <w:rFonts w:ascii="仿宋_GB2312" w:hAnsi="仿宋_GB2312" w:cs="仿宋_GB2312" w:eastAsia="仿宋_GB2312"/>
                      <w:sz w:val="20"/>
                    </w:rPr>
                    <w:t>器</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浪潮</w:t>
                  </w:r>
                  <w:r>
                    <w:rPr>
                      <w:rFonts w:ascii="仿宋_GB2312" w:hAnsi="仿宋_GB2312" w:cs="仿宋_GB2312" w:eastAsia="仿宋_GB2312"/>
                      <w:sz w:val="20"/>
                    </w:rPr>
                    <w:t>I420-C30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5</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机柜</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图腾</w:t>
                  </w:r>
                  <w:r>
                    <w:rPr>
                      <w:rFonts w:ascii="仿宋_GB2312" w:hAnsi="仿宋_GB2312" w:cs="仿宋_GB2312" w:eastAsia="仿宋_GB2312"/>
                      <w:sz w:val="20"/>
                    </w:rPr>
                    <w:t>42U</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个</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6</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光猫</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Netlink</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4</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对</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7</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中继</w:t>
                  </w:r>
                </w:p>
                <w:p>
                  <w:pPr>
                    <w:pStyle w:val="null3"/>
                    <w:spacing w:before="120"/>
                    <w:jc w:val="center"/>
                  </w:pPr>
                  <w:r>
                    <w:rPr>
                      <w:rFonts w:ascii="仿宋_GB2312" w:hAnsi="仿宋_GB2312" w:cs="仿宋_GB2312" w:eastAsia="仿宋_GB2312"/>
                      <w:sz w:val="20"/>
                    </w:rPr>
                    <w:t>语音</w:t>
                  </w:r>
                </w:p>
                <w:p>
                  <w:pPr>
                    <w:pStyle w:val="null3"/>
                    <w:spacing w:before="120"/>
                    <w:jc w:val="center"/>
                  </w:pPr>
                  <w:r>
                    <w:rPr>
                      <w:rFonts w:ascii="仿宋_GB2312" w:hAnsi="仿宋_GB2312" w:cs="仿宋_GB2312" w:eastAsia="仿宋_GB2312"/>
                      <w:sz w:val="20"/>
                    </w:rPr>
                    <w:t>网关</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毅航</w:t>
                  </w:r>
                  <w:r>
                    <w:rPr>
                      <w:rFonts w:ascii="仿宋_GB2312" w:hAnsi="仿宋_GB2312" w:cs="仿宋_GB2312" w:eastAsia="仿宋_GB2312"/>
                      <w:sz w:val="20"/>
                    </w:rPr>
                    <w:t>/TG1000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8</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内存条</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华为</w:t>
                  </w:r>
                  <w:r>
                    <w:rPr>
                      <w:rFonts w:ascii="仿宋_GB2312" w:hAnsi="仿宋_GB2312" w:cs="仿宋_GB2312" w:eastAsia="仿宋_GB2312"/>
                      <w:sz w:val="20"/>
                    </w:rPr>
                    <w:t>E9000 DDR4 LRDIMM</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套</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9</w:t>
                  </w:r>
                </w:p>
              </w:tc>
              <w:tc>
                <w:tcPr>
                  <w:tcW w:type="dxa" w:w="241"/>
                  <w:vMerge/>
                  <w:tcBorders>
                    <w:top w:val="none" w:color="000000" w:sz="4"/>
                    <w:left w:val="single" w:color="000000" w:sz="8"/>
                    <w:bottom w:val="none" w:color="000000" w:sz="4"/>
                    <w:right w:val="single" w:color="000000" w:sz="8"/>
                  </w:tcBorders>
                </w:tcPr>
                <w:p/>
              </w:tc>
              <w:tc>
                <w:tcPr>
                  <w:tcW w:type="dxa" w:w="120"/>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监控设备</w:t>
                  </w: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大华</w:t>
                  </w:r>
                </w:p>
                <w:p>
                  <w:pPr>
                    <w:pStyle w:val="null3"/>
                    <w:spacing w:before="120"/>
                    <w:jc w:val="center"/>
                  </w:pPr>
                  <w:r>
                    <w:rPr>
                      <w:rFonts w:ascii="仿宋_GB2312" w:hAnsi="仿宋_GB2312" w:cs="仿宋_GB2312" w:eastAsia="仿宋_GB2312"/>
                      <w:sz w:val="20"/>
                    </w:rPr>
                    <w:t>硬盘</w:t>
                  </w:r>
                </w:p>
                <w:p>
                  <w:pPr>
                    <w:pStyle w:val="null3"/>
                    <w:spacing w:before="120"/>
                    <w:jc w:val="center"/>
                  </w:pPr>
                  <w:r>
                    <w:rPr>
                      <w:rFonts w:ascii="仿宋_GB2312" w:hAnsi="仿宋_GB2312" w:cs="仿宋_GB2312" w:eastAsia="仿宋_GB2312"/>
                      <w:sz w:val="20"/>
                    </w:rPr>
                    <w:t>录像</w:t>
                  </w:r>
                </w:p>
                <w:p>
                  <w:pPr>
                    <w:pStyle w:val="null3"/>
                    <w:spacing w:before="120"/>
                    <w:jc w:val="center"/>
                  </w:pPr>
                  <w:r>
                    <w:rPr>
                      <w:rFonts w:ascii="仿宋_GB2312" w:hAnsi="仿宋_GB2312" w:cs="仿宋_GB2312" w:eastAsia="仿宋_GB2312"/>
                      <w:sz w:val="20"/>
                    </w:rPr>
                    <w:t>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DH-NVR2108HS-8P-S1</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10</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大华</w:t>
                  </w:r>
                </w:p>
                <w:p>
                  <w:pPr>
                    <w:pStyle w:val="null3"/>
                    <w:spacing w:before="120"/>
                    <w:jc w:val="center"/>
                  </w:pPr>
                  <w:r>
                    <w:rPr>
                      <w:rFonts w:ascii="仿宋_GB2312" w:hAnsi="仿宋_GB2312" w:cs="仿宋_GB2312" w:eastAsia="仿宋_GB2312"/>
                      <w:sz w:val="20"/>
                    </w:rPr>
                    <w:t>高清</w:t>
                  </w:r>
                </w:p>
                <w:p>
                  <w:pPr>
                    <w:pStyle w:val="null3"/>
                    <w:spacing w:before="120"/>
                    <w:jc w:val="center"/>
                  </w:pPr>
                  <w:r>
                    <w:rPr>
                      <w:rFonts w:ascii="仿宋_GB2312" w:hAnsi="仿宋_GB2312" w:cs="仿宋_GB2312" w:eastAsia="仿宋_GB2312"/>
                      <w:sz w:val="20"/>
                    </w:rPr>
                    <w:t>摄像</w:t>
                  </w:r>
                </w:p>
                <w:p>
                  <w:pPr>
                    <w:pStyle w:val="null3"/>
                    <w:spacing w:before="120"/>
                    <w:jc w:val="center"/>
                  </w:pPr>
                  <w:r>
                    <w:rPr>
                      <w:rFonts w:ascii="仿宋_GB2312" w:hAnsi="仿宋_GB2312" w:cs="仿宋_GB2312" w:eastAsia="仿宋_GB2312"/>
                      <w:sz w:val="20"/>
                    </w:rPr>
                    <w:t>头</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DH-IPC-HDBW5233R-AS</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11</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洛菲特监控显示器</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LFT220M-DH1</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12</w:t>
                  </w:r>
                </w:p>
              </w:tc>
              <w:tc>
                <w:tcPr>
                  <w:tcW w:type="dxa" w:w="241"/>
                  <w:vMerge/>
                  <w:tcBorders>
                    <w:top w:val="none" w:color="000000" w:sz="4"/>
                    <w:left w:val="single" w:color="000000" w:sz="8"/>
                    <w:bottom w:val="none" w:color="000000" w:sz="4"/>
                    <w:right w:val="single" w:color="000000" w:sz="8"/>
                  </w:tcBorders>
                </w:tcPr>
                <w:p/>
              </w:tc>
              <w:tc>
                <w:tcPr>
                  <w:tcW w:type="dxa" w:w="120"/>
                  <w:vMerge w:val="restart"/>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坐席设备</w:t>
                  </w:r>
                </w:p>
              </w:tc>
              <w:tc>
                <w:tcPr>
                  <w:tcW w:type="dxa" w:w="241"/>
                  <w:vMerge w:val="restart"/>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台式</w:t>
                  </w:r>
                </w:p>
                <w:p>
                  <w:pPr>
                    <w:pStyle w:val="null3"/>
                    <w:spacing w:before="75"/>
                    <w:jc w:val="center"/>
                  </w:pPr>
                  <w:r>
                    <w:rPr>
                      <w:rFonts w:ascii="仿宋_GB2312" w:hAnsi="仿宋_GB2312" w:cs="仿宋_GB2312" w:eastAsia="仿宋_GB2312"/>
                      <w:sz w:val="20"/>
                    </w:rPr>
                    <w:t>电脑</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DELL</w:t>
                  </w:r>
                  <w:r>
                    <w:rPr>
                      <w:rFonts w:ascii="仿宋_GB2312" w:hAnsi="仿宋_GB2312" w:cs="仿宋_GB2312" w:eastAsia="仿宋_GB2312"/>
                    </w:rPr>
                    <w:t xml:space="preserve"> </w:t>
                  </w:r>
                  <w:r>
                    <w:rPr>
                      <w:rFonts w:ascii="仿宋_GB2312" w:hAnsi="仿宋_GB2312" w:cs="仿宋_GB2312" w:eastAsia="仿宋_GB2312"/>
                      <w:sz w:val="20"/>
                    </w:rPr>
                    <w:t>OptiPlex 3050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25</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val="restart"/>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103</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13</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single" w:color="000000" w:sz="8"/>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100"/>
                    <w:jc w:val="both"/>
                  </w:pPr>
                  <w:r>
                    <w:rPr>
                      <w:rFonts w:ascii="仿宋_GB2312" w:hAnsi="仿宋_GB2312" w:cs="仿宋_GB2312" w:eastAsia="仿宋_GB2312"/>
                      <w:sz w:val="20"/>
                    </w:rPr>
                    <w:t>Lenovo AI0520C-22IWL</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26</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single" w:color="000000" w:sz="8"/>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14</w:t>
                  </w:r>
                </w:p>
              </w:tc>
              <w:tc>
                <w:tcPr>
                  <w:tcW w:type="dxa" w:w="24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both"/>
                  </w:p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single" w:color="000000" w:sz="8"/>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Lenovo AI0520C-24IWL</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52</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single" w:color="000000" w:sz="8"/>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15</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IP</w:t>
                  </w:r>
                </w:p>
                <w:p>
                  <w:pPr>
                    <w:pStyle w:val="null3"/>
                    <w:spacing w:before="75"/>
                    <w:jc w:val="center"/>
                  </w:pPr>
                  <w:r>
                    <w:rPr>
                      <w:rFonts w:ascii="仿宋_GB2312" w:hAnsi="仿宋_GB2312" w:cs="仿宋_GB2312" w:eastAsia="仿宋_GB2312"/>
                      <w:sz w:val="20"/>
                    </w:rPr>
                    <w:t>话机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ind w:firstLine="95"/>
                  </w:pPr>
                  <w:r>
                    <w:rPr>
                      <w:rFonts w:ascii="仿宋_GB2312" w:hAnsi="仿宋_GB2312" w:cs="仿宋_GB2312" w:eastAsia="仿宋_GB2312"/>
                      <w:sz w:val="20"/>
                    </w:rPr>
                    <w:t>华为</w:t>
                  </w:r>
                  <w:r>
                    <w:rPr>
                      <w:rFonts w:ascii="仿宋_GB2312" w:hAnsi="仿宋_GB2312" w:cs="仿宋_GB2312" w:eastAsia="仿宋_GB2312"/>
                    </w:rPr>
                    <w:t xml:space="preserve"> </w:t>
                  </w:r>
                  <w:r>
                    <w:rPr>
                      <w:rFonts w:ascii="仿宋_GB2312" w:hAnsi="仿宋_GB2312" w:cs="仿宋_GB2312" w:eastAsia="仿宋_GB2312"/>
                      <w:sz w:val="20"/>
                    </w:rPr>
                    <w:t>eSpace</w:t>
                  </w:r>
                  <w:r>
                    <w:rPr>
                      <w:rFonts w:ascii="仿宋_GB2312" w:hAnsi="仿宋_GB2312" w:cs="仿宋_GB2312" w:eastAsia="仿宋_GB2312"/>
                    </w:rPr>
                    <w:t xml:space="preserve"> </w:t>
                  </w:r>
                  <w:r>
                    <w:rPr>
                      <w:rFonts w:ascii="仿宋_GB2312" w:hAnsi="仿宋_GB2312" w:cs="仿宋_GB2312" w:eastAsia="仿宋_GB2312"/>
                      <w:sz w:val="20"/>
                    </w:rPr>
                    <w:t>7910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19</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台</w:t>
                  </w:r>
                </w:p>
              </w:tc>
              <w:tc>
                <w:tcPr>
                  <w:tcW w:type="dxa" w:w="196"/>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60</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16</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left"/>
                  </w:pPr>
                  <w:r>
                    <w:rPr>
                      <w:rFonts w:ascii="仿宋_GB2312" w:hAnsi="仿宋_GB2312" w:cs="仿宋_GB2312" w:eastAsia="仿宋_GB2312"/>
                      <w:sz w:val="20"/>
                    </w:rPr>
                    <w:t>亿联</w:t>
                  </w:r>
                  <w:r>
                    <w:rPr>
                      <w:rFonts w:ascii="仿宋_GB2312" w:hAnsi="仿宋_GB2312" w:cs="仿宋_GB2312" w:eastAsia="仿宋_GB2312"/>
                      <w:sz w:val="20"/>
                    </w:rPr>
                    <w:t>Yealink-SIP-T21-E2</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18</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17</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8"/>
                  </w:pPr>
                  <w:r>
                    <w:rPr>
                      <w:rFonts w:ascii="仿宋_GB2312" w:hAnsi="仿宋_GB2312" w:cs="仿宋_GB2312" w:eastAsia="仿宋_GB2312"/>
                      <w:sz w:val="20"/>
                    </w:rPr>
                    <w:t>方位</w:t>
                  </w:r>
                  <w:r>
                    <w:rPr>
                      <w:rFonts w:ascii="仿宋_GB2312" w:hAnsi="仿宋_GB2312" w:cs="仿宋_GB2312" w:eastAsia="仿宋_GB2312"/>
                      <w:sz w:val="20"/>
                    </w:rPr>
                    <w:t>Fanvil-X3S</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23</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18</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坐席</w:t>
                  </w:r>
                </w:p>
                <w:p>
                  <w:pPr>
                    <w:pStyle w:val="null3"/>
                    <w:spacing w:before="75"/>
                    <w:jc w:val="center"/>
                  </w:pPr>
                  <w:r>
                    <w:rPr>
                      <w:rFonts w:ascii="仿宋_GB2312" w:hAnsi="仿宋_GB2312" w:cs="仿宋_GB2312" w:eastAsia="仿宋_GB2312"/>
                      <w:sz w:val="20"/>
                    </w:rPr>
                    <w:t>耳麦</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7"/>
                  </w:pPr>
                  <w:r>
                    <w:rPr>
                      <w:rFonts w:ascii="仿宋_GB2312" w:hAnsi="仿宋_GB2312" w:cs="仿宋_GB2312" w:eastAsia="仿宋_GB2312"/>
                      <w:sz w:val="20"/>
                    </w:rPr>
                    <w:t>捷波朗</w:t>
                  </w:r>
                  <w:r>
                    <w:rPr>
                      <w:rFonts w:ascii="仿宋_GB2312" w:hAnsi="仿宋_GB2312" w:cs="仿宋_GB2312" w:eastAsia="仿宋_GB2312"/>
                    </w:rPr>
                    <w:t xml:space="preserve"> </w:t>
                  </w:r>
                  <w:r>
                    <w:rPr>
                      <w:rFonts w:ascii="仿宋_GB2312" w:hAnsi="仿宋_GB2312" w:cs="仿宋_GB2312" w:eastAsia="仿宋_GB2312"/>
                      <w:sz w:val="20"/>
                    </w:rPr>
                    <w:t>Jabra BIZ</w:t>
                  </w:r>
                  <w:r>
                    <w:rPr>
                      <w:rFonts w:ascii="仿宋_GB2312" w:hAnsi="仿宋_GB2312" w:cs="仿宋_GB2312" w:eastAsia="仿宋_GB2312"/>
                    </w:rPr>
                    <w:t xml:space="preserve"> </w:t>
                  </w:r>
                  <w:r>
                    <w:rPr>
                      <w:rFonts w:ascii="仿宋_GB2312" w:hAnsi="仿宋_GB2312" w:cs="仿宋_GB2312" w:eastAsia="仿宋_GB2312"/>
                      <w:sz w:val="20"/>
                    </w:rPr>
                    <w:t>2300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19</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副</w:t>
                  </w:r>
                </w:p>
              </w:tc>
              <w:tc>
                <w:tcPr>
                  <w:tcW w:type="dxa" w:w="196"/>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60</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19</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pPr>
                  <w:r>
                    <w:rPr>
                      <w:rFonts w:ascii="仿宋_GB2312" w:hAnsi="仿宋_GB2312" w:cs="仿宋_GB2312" w:eastAsia="仿宋_GB2312"/>
                      <w:sz w:val="20"/>
                    </w:rPr>
                    <w:t>科特尔</w:t>
                  </w:r>
                  <w:r>
                    <w:rPr>
                      <w:rFonts w:ascii="仿宋_GB2312" w:hAnsi="仿宋_GB2312" w:cs="仿宋_GB2312" w:eastAsia="仿宋_GB2312"/>
                      <w:sz w:val="20"/>
                    </w:rPr>
                    <w:t>CT-T600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25</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副</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20</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single" w:color="000000" w:sz="8"/>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6"/>
                    <w:jc w:val="both"/>
                  </w:pPr>
                  <w:r>
                    <w:rPr>
                      <w:rFonts w:ascii="仿宋_GB2312" w:hAnsi="仿宋_GB2312" w:cs="仿宋_GB2312" w:eastAsia="仿宋_GB2312"/>
                      <w:sz w:val="20"/>
                    </w:rPr>
                    <w:t>北恩</w:t>
                  </w:r>
                  <w:r>
                    <w:rPr>
                      <w:rFonts w:ascii="仿宋_GB2312" w:hAnsi="仿宋_GB2312" w:cs="仿宋_GB2312" w:eastAsia="仿宋_GB2312"/>
                    </w:rPr>
                    <w:t xml:space="preserve"> </w:t>
                  </w:r>
                  <w:r>
                    <w:rPr>
                      <w:rFonts w:ascii="仿宋_GB2312" w:hAnsi="仿宋_GB2312" w:cs="仿宋_GB2312" w:eastAsia="仿宋_GB2312"/>
                      <w:sz w:val="20"/>
                    </w:rPr>
                    <w:t>FOR600</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16</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副</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21</w:t>
                  </w:r>
                </w:p>
              </w:tc>
              <w:tc>
                <w:tcPr>
                  <w:tcW w:type="dxa" w:w="241"/>
                  <w:vMerge/>
                  <w:tcBorders>
                    <w:top w:val="none" w:color="000000" w:sz="4"/>
                    <w:left w:val="single" w:color="000000" w:sz="8"/>
                    <w:bottom w:val="none" w:color="000000" w:sz="4"/>
                    <w:right w:val="single" w:color="000000" w:sz="8"/>
                  </w:tcBorders>
                </w:tcPr>
                <w:p/>
              </w:tc>
              <w:tc>
                <w:tcPr>
                  <w:tcW w:type="dxa" w:w="120"/>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网络节点</w:t>
                  </w:r>
                </w:p>
              </w:tc>
              <w:tc>
                <w:tcPr>
                  <w:tcW w:type="dxa" w:w="241"/>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接入</w:t>
                  </w:r>
                </w:p>
                <w:p>
                  <w:pPr>
                    <w:pStyle w:val="null3"/>
                    <w:spacing w:before="75"/>
                    <w:jc w:val="center"/>
                  </w:pPr>
                  <w:r>
                    <w:rPr>
                      <w:rFonts w:ascii="仿宋_GB2312" w:hAnsi="仿宋_GB2312" w:cs="仿宋_GB2312" w:eastAsia="仿宋_GB2312"/>
                      <w:sz w:val="20"/>
                    </w:rPr>
                    <w:t>交换机</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7"/>
                  </w:pPr>
                  <w:r>
                    <w:rPr>
                      <w:rFonts w:ascii="仿宋_GB2312" w:hAnsi="仿宋_GB2312" w:cs="仿宋_GB2312" w:eastAsia="仿宋_GB2312"/>
                      <w:sz w:val="20"/>
                    </w:rPr>
                    <w:t>新华三</w:t>
                  </w:r>
                  <w:r>
                    <w:rPr>
                      <w:rFonts w:ascii="仿宋_GB2312" w:hAnsi="仿宋_GB2312" w:cs="仿宋_GB2312" w:eastAsia="仿宋_GB2312"/>
                      <w:sz w:val="20"/>
                    </w:rPr>
                    <w:t>H3C</w:t>
                  </w:r>
                  <w:r>
                    <w:rPr>
                      <w:rFonts w:ascii="仿宋_GB2312" w:hAnsi="仿宋_GB2312" w:cs="仿宋_GB2312" w:eastAsia="仿宋_GB2312"/>
                    </w:rPr>
                    <w:t xml:space="preserve"> </w:t>
                  </w:r>
                  <w:r>
                    <w:rPr>
                      <w:rFonts w:ascii="仿宋_GB2312" w:hAnsi="仿宋_GB2312" w:cs="仿宋_GB2312" w:eastAsia="仿宋_GB2312"/>
                      <w:sz w:val="20"/>
                    </w:rPr>
                    <w:t>S1348G</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val="restart"/>
                  <w:tcBorders>
                    <w:top w:val="none" w:color="000000" w:sz="4"/>
                    <w:left w:val="single" w:color="000000" w:sz="8"/>
                    <w:bottom w:val="none" w:color="000000" w:sz="4"/>
                    <w:right w:val="single" w:color="000000" w:sz="8"/>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1</w:t>
                  </w:r>
                  <w:r>
                    <w:rPr>
                      <w:rFonts w:ascii="仿宋_GB2312" w:hAnsi="仿宋_GB2312" w:cs="仿宋_GB2312" w:eastAsia="仿宋_GB2312"/>
                      <w:sz w:val="20"/>
                    </w:rPr>
                    <w:t>1</w:t>
                  </w: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22</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7"/>
                  </w:pPr>
                  <w:r>
                    <w:rPr>
                      <w:rFonts w:ascii="仿宋_GB2312" w:hAnsi="仿宋_GB2312" w:cs="仿宋_GB2312" w:eastAsia="仿宋_GB2312"/>
                      <w:sz w:val="20"/>
                    </w:rPr>
                    <w:t>新华三</w:t>
                  </w:r>
                  <w:r>
                    <w:rPr>
                      <w:rFonts w:ascii="仿宋_GB2312" w:hAnsi="仿宋_GB2312" w:cs="仿宋_GB2312" w:eastAsia="仿宋_GB2312"/>
                      <w:sz w:val="20"/>
                    </w:rPr>
                    <w:t>H3C</w:t>
                  </w:r>
                  <w:r>
                    <w:rPr>
                      <w:rFonts w:ascii="仿宋_GB2312" w:hAnsi="仿宋_GB2312" w:cs="仿宋_GB2312" w:eastAsia="仿宋_GB2312"/>
                    </w:rPr>
                    <w:t xml:space="preserve"> </w:t>
                  </w:r>
                  <w:r>
                    <w:rPr>
                      <w:rFonts w:ascii="仿宋_GB2312" w:hAnsi="仿宋_GB2312" w:cs="仿宋_GB2312" w:eastAsia="仿宋_GB2312"/>
                      <w:sz w:val="20"/>
                    </w:rPr>
                    <w:t>S1224F</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3</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23</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7"/>
                  </w:pPr>
                  <w:r>
                    <w:rPr>
                      <w:rFonts w:ascii="仿宋_GB2312" w:hAnsi="仿宋_GB2312" w:cs="仿宋_GB2312" w:eastAsia="仿宋_GB2312"/>
                      <w:sz w:val="20"/>
                    </w:rPr>
                    <w:t>新华三</w:t>
                  </w:r>
                  <w:r>
                    <w:rPr>
                      <w:rFonts w:ascii="仿宋_GB2312" w:hAnsi="仿宋_GB2312" w:cs="仿宋_GB2312" w:eastAsia="仿宋_GB2312"/>
                      <w:sz w:val="20"/>
                    </w:rPr>
                    <w:t>Mini</w:t>
                  </w:r>
                  <w:r>
                    <w:rPr>
                      <w:rFonts w:ascii="仿宋_GB2312" w:hAnsi="仿宋_GB2312" w:cs="仿宋_GB2312" w:eastAsia="仿宋_GB2312"/>
                    </w:rPr>
                    <w:t xml:space="preserve"> </w:t>
                  </w:r>
                  <w:r>
                    <w:rPr>
                      <w:rFonts w:ascii="仿宋_GB2312" w:hAnsi="仿宋_GB2312" w:cs="仿宋_GB2312" w:eastAsia="仿宋_GB2312"/>
                      <w:sz w:val="20"/>
                    </w:rPr>
                    <w:t>S1224</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24</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pPr>
                  <w:r>
                    <w:rPr>
                      <w:rFonts w:ascii="仿宋_GB2312" w:hAnsi="仿宋_GB2312" w:cs="仿宋_GB2312" w:eastAsia="仿宋_GB2312"/>
                      <w:sz w:val="20"/>
                    </w:rPr>
                    <w:t>TP-LINK  TL-SG1016DT</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25</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vMerge/>
                  <w:tcBorders>
                    <w:top w:val="none" w:color="000000" w:sz="4"/>
                    <w:left w:val="single" w:color="000000" w:sz="8"/>
                    <w:bottom w:val="none" w:color="000000" w:sz="4"/>
                    <w:right w:val="single" w:color="000000" w:sz="8"/>
                  </w:tcBorders>
                </w:tcP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ind w:firstLine="99"/>
                  </w:pPr>
                  <w:r>
                    <w:rPr>
                      <w:rFonts w:ascii="仿宋_GB2312" w:hAnsi="仿宋_GB2312" w:cs="仿宋_GB2312" w:eastAsia="仿宋_GB2312"/>
                      <w:sz w:val="20"/>
                    </w:rPr>
                    <w:t>TP-LINK  TL-SG1024DT</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4</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台</w:t>
                  </w:r>
                </w:p>
              </w:tc>
              <w:tc>
                <w:tcPr>
                  <w:tcW w:type="dxa" w:w="196"/>
                  <w:vMerge/>
                  <w:tcBorders>
                    <w:top w:val="none" w:color="000000" w:sz="4"/>
                    <w:left w:val="single" w:color="000000" w:sz="8"/>
                    <w:bottom w:val="none" w:color="000000" w:sz="4"/>
                    <w:right w:val="single" w:color="000000" w:sz="8"/>
                  </w:tcBorders>
                </w:tcPr>
                <w:p/>
              </w:tc>
            </w:tr>
            <w:tr>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26</w:t>
                  </w:r>
                </w:p>
              </w:tc>
              <w:tc>
                <w:tcPr>
                  <w:tcW w:type="dxa" w:w="241"/>
                  <w:vMerge/>
                  <w:tcBorders>
                    <w:top w:val="none" w:color="000000" w:sz="4"/>
                    <w:left w:val="single" w:color="000000" w:sz="8"/>
                    <w:bottom w:val="none" w:color="000000" w:sz="4"/>
                    <w:right w:val="single" w:color="000000" w:sz="8"/>
                  </w:tcBorders>
                </w:tcPr>
                <w:p/>
              </w:tc>
              <w:tc>
                <w:tcPr>
                  <w:tcW w:type="dxa" w:w="120"/>
                  <w:vMerge/>
                  <w:tcBorders>
                    <w:top w:val="none" w:color="000000" w:sz="4"/>
                    <w:left w:val="single" w:color="000000" w:sz="8"/>
                    <w:bottom w:val="none" w:color="000000" w:sz="4"/>
                    <w:right w:val="single" w:color="000000" w:sz="8"/>
                  </w:tcBorders>
                </w:tcPr>
                <w:p/>
              </w:tc>
              <w:tc>
                <w:tcPr>
                  <w:tcW w:type="dxa" w:w="241"/>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网络</w:t>
                  </w:r>
                </w:p>
                <w:p>
                  <w:pPr>
                    <w:pStyle w:val="null3"/>
                    <w:spacing w:before="120"/>
                    <w:jc w:val="center"/>
                  </w:pPr>
                  <w:r>
                    <w:rPr>
                      <w:rFonts w:ascii="仿宋_GB2312" w:hAnsi="仿宋_GB2312" w:cs="仿宋_GB2312" w:eastAsia="仿宋_GB2312"/>
                      <w:sz w:val="20"/>
                    </w:rPr>
                    <w:t>节点</w:t>
                  </w:r>
                </w:p>
              </w:tc>
              <w:tc>
                <w:tcPr>
                  <w:tcW w:type="dxa" w:w="1102"/>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w:t>
                  </w:r>
                </w:p>
              </w:tc>
              <w:tc>
                <w:tcPr>
                  <w:tcW w:type="dxa" w:w="21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163</w:t>
                  </w:r>
                  <w:r>
                    <w:rPr>
                      <w:rFonts w:ascii="仿宋_GB2312" w:hAnsi="仿宋_GB2312" w:cs="仿宋_GB2312" w:eastAsia="仿宋_GB2312"/>
                    </w:rPr>
                    <w:t xml:space="preserve">  </w:t>
                  </w:r>
                </w:p>
              </w:tc>
              <w:tc>
                <w:tcPr>
                  <w:tcW w:type="dxa" w:w="188"/>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个</w:t>
                  </w:r>
                </w:p>
              </w:tc>
              <w:tc>
                <w:tcPr>
                  <w:tcW w:type="dxa" w:w="196"/>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163</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在服务过程中指定一名具有项目经理相关从业资质的人员，同时具备丰富的项目管理经验，至少 1个及以上同规模项目的项目经理任职经历，同时应具有预见和应对项目风险的能力；项目组成员需具备灾难恢复工作经验，包括但不限于安全设备管理、日志分析和事件响应等方面，以确保系统连续安全运行；为保证项目的连续性，在项目服务周期内不得随意更换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一）本项目采购预算为84.3万元，12122热线系统软件运行维护（预算：28.9万元）、12122热线系统硬件设备运行维护（预算：15.1万元）、其他运维服务（预算：28.3万元）和其他费用（预算：12万元）四部分内容组成。 （二）各供应商的磋商总报价不能超过采购包最高总限价为843,000.00元。各分项报价不能超过分项采购最高限价：12122热线系统软件运行维护最高限价为289,000.00元；12122热线系统硬件设备运行维护最高限价为151,000.00元；其他运维服务最高限价为283,000.00元；其他费用最高限价为120,000.00元。 （三）磋商总报价及各分项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二、保密要求 运维工作期间所收集、产生的所有与本项目相关的文档、资料，包括不限于文字、图片、表格、数字等各种形式所属权均归属省中心，供应商必须对所涉及到的内容保密，供应商及服务人员应按照要求签署保密协议。 三、网络安全要求 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服务期12个月（2025年7月1 日-2026 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1、验收标准：符合现行国家相关标准、行业标准及采购人要求，按季度向采购人提交阶段服务报告。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合同签订10日内，供应商开具全额增值税发票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剩余35%甲方按月向乙方支付，满足服务内容的第三个月后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剩余35%甲方按月向乙方支付，满足服务内容的第四个月后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剩余35%甲方按月向乙方支付，满足服务内容的第五个月后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剩余35%甲方按月向乙方支付，满足服务内容的第六个月后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剩余35%甲方按月向乙方支付，满足服务内容的第七个月后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剩余35%甲方按月向乙方支付，满足服务内容的第八个月后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剩余35%甲方按月向乙方支付，满足服务内容的第九个月后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剩余35%甲方按月向乙方支付，满足服务内容的第十个月后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剩余35%甲方按月向乙方支付，满足服务内容的第十一个月后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3.10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因供应商原因，服务期间造成实际影响的，按以下条款处理： 1.应做好巡检，形成巡检记录，因巡检不到位造成故障 不能及时发现处置，每次扣除服务费1000元。 2.12122热线系统出现故障12小时内未发现，每次扣除维护服务费2000元。 3.12122热线系统故障，影响使用超过24小时，每次扣除维护服务费2000元。 4.由于乙方原因，造成甲方损失并导致严重不良影响的，每次扣除维护服务费5000元。乙方应以最短时间恢复系统正常运转，期间产生的一切费用由乙方承担。 5.12122热线系统及服务器登录密码不符合密码复杂性策略，发现一处弱口令，扣除服务费5000元。 6.节假日、重要活动等特殊时期的保障，应加强值班值守，若发现有人擅离职守，发现1次，每次扣除服务费2000元；未按要求提前进行系统安全检查，由于系统安全问题，造成系统不能正常运行，每次扣除服务费2000元。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 分）： 1、对项目背景的理解：每完全满足一个评审标准得 1分，满分 3分； 2、对项目的需求分析:每完全满足一个评审标准得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针对本项目服务内容及要求，供应商应详细阐述项目的总体实施方案，内容包括： 1、服务目标与原则； 2、服务内容； 3、重难点分析； 4、服务计划。 二、评审标准： 1、完整性：方案必须全面，对评审内容中的各项要求有详细描述； 2、可实施性：切合本项目实际情况，实施步骤清晰、合理、可行； 3、针对性：方案能够紧扣项目实际需求，内容科学合理。 三、赋分标准（满分12 分）： 1、服务目标与原则：每完全满足一个评审标准得 1分，满分 3分； 2、服务内容:每完全满足一个评审标准得 1 分，满分3 分； 3、重难点分析：每完全满足一个评审标准得 1 分，满分3 分； 4、服务计划:每完全满足一个评审标准得1分，满分3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一、评审内容： 针对本项目的服务内容及要求，供应商提供全面的安全方案，方案内容包括： 1、软件维护安全方案； 2、硬件维护安全方案； 3、网络维护安全方案。 二、评审标准： 1、完整性：安全方案必须全面，对安全要求有详细描述和防护措施； 2、可实施性：切合本项目实际情况，合理、可行； 3、针对性：安全方案能够紧扣项目安全要求，内容科学合理。 三、赋分标准（满分9分）： 1、软件维护安全方案：每完全满足一个评审标准得 1分，满分 3分； 2、硬件维护安全方案：每完全满足一个评审标准得 1分，满分 3分； 3、网络维护安全方案：每完全满足一个评审标准得 1分，满分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一、评审内容： 针对本项目的服务内容及要求，供应商对项目实施过程中潜在问题及重大故障，提出应急措施和解决方案，内容包括： 1、软件应急措施； 2、硬件应急措施； 3、其他运维应急措施。 二、评审标准： 1、完整性：解决方案必须全面，详细描述应急预案及解决措施； 2、可实施性：贴合本项目实际情况，措施清晰、合理、可行； 3、针对性：方案能够紧扣项目实际需求，内容科学合理。 三、赋分标准（满分9分）： 1、软件应急措施：每完全满足一个评审标准得1分，满分3分； 2、硬件应急措施：每完全满足一个评审标准得1分，满分3分； 3、其他运维应急措施：每完全满足一个评审标准得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实施进度及计划</w:t>
            </w:r>
          </w:p>
        </w:tc>
        <w:tc>
          <w:tcPr>
            <w:tcW w:type="dxa" w:w="2492"/>
          </w:tcPr>
          <w:p>
            <w:pPr>
              <w:pStyle w:val="null3"/>
            </w:pPr>
            <w:r>
              <w:rPr>
                <w:rFonts w:ascii="仿宋_GB2312" w:hAnsi="仿宋_GB2312" w:cs="仿宋_GB2312" w:eastAsia="仿宋_GB2312"/>
              </w:rPr>
              <w:t>一、评审内容： 针对本项目的服务内容及要求，供应商提供实施进度和计划，内容包含： 1、软件运行维护实施进度及计划； 2、硬件设备运行维护实施进度及计划； 3、其他运维服务实施进度及计划； 4、与12328业务系统对接服务实施进度及计划。 二、评审标准： 1、完整性：实施进度及计划必须全面，对评审内容中的各项要求有详细描述； 2、可实施性：切合本项目实际情况，实施进度及计划合理、可行； 3、针对性：实施进度及计划能够紧扣项目实际需求，科学合理。 三、赋分标准（满分6分）： 1、软件运行维护实施进度及计划：每完全满足一个评审标准得 0.5分，满分1.5分； 2、硬件设备运行维护实施进度及计划：每完全满足一个评审标准得 0.5分，满分1.5分； 3、其他运维服务实施进度及计划：每完全满足一个评审标准得 0.5分，满分1.5分。 4、与12328业务系统对接服务实施进度及计划：每完全满足一个评审标准得 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1、人员组织结构；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三、赋分标准（满分4.5分）： 1、人员组织结构：每完全满足一个评审标准得0.5分，满分1.5分； 2、拟投入本项目的人员配置（提供简历表等，格式自拟，包括但不限于姓名、职务、年龄、工作经验、年限、学历等相关信息）:每完全满足一个评审标准得0.5分，满分1.5分； 3、项目人员岗位职责:每完全满足一个评审标准得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供应商需针对服务内容及要求，提供服务保障方案，内容包括： 1、运维管理体系； 2、服务保障措施； 3、应急响应与故障处理。 二、评审标准： 1、完整性：内容必须全面，对评审内容中的各项要求有详细描述； 2、可实施性：切合本项目实际情况，实施步骤清晰、合理、可行； 3、针对性：描述能够紧扣项目实际需求，内容科学合理。 三、赋分标准（满分9分）： 1、运维管理体系：每完全满足一个评审标准得 1分，满分3分； 2、服务保障措施：每完全满足一个评审标准得 1分，满分3分； 3、应急响应与故障处理:每完全满足一个评审标准得1分，满分3分。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根据项目情况提供完整的管理制度，包括： 1、上岗人员管理制度； 2、日常管理制度； 3、档案资料管理制度。 二、评审标准： 1、完整性：对评审内容中的各项制度有全面、详细描述； 2、可实施性：切合项目实际情况，各项制度内容清晰、合理、可行； 3、针对性：各项制度能够紧扣项目及采购人实际需求，内容科学合理。 三、赋分标准（满分4.5分）： 1、上岗人员管理制度：每完全满足一个评审标准得 0.5分，满分1.5分； 2、日常管理制度：每完全满足一个评审标准得 0.5分，满分1.5分； 3、档案资料管理制度：每完全满足一个评审标准得 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1、承诺：严格按照项目服务内容及要求，保证采购人要求服务的日常及应急响应时限完成服务，确保热线正常运行，得3分。无承诺不得分。 2、承诺：供应商对本项目提供多种支持服务，包括但不限于：远程支持服务、硬件支持服务、现场服务等，得3分。无承诺不得分。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供应商在信息化方面具有较好的服务能力和实力。须附相关证明材料，包含： 1、有效的ISO9001质量管理体系认证证书； 2、软件企业证书； 3、信息安全管理体系认证证书。 注：每提供1个得2分，此项最高得6分。（以上证明材料提供相应证书复印件或扫描件加盖响应人公章）。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供应商应提供2022年1月1日起至今类似项目业绩，每提供1份业绩得2分，满分8分。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