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版本号：HCCG-2025-11520250430001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2025年预算一体化云平台及数据库续采项目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HCCG-2025-115</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2025年预算一体化云平台及数据库续采项目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HCCG-2025-115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2025年预算一体化云平台及数据库续采项目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1、项目服务周期为五年。 2、本项目期内云软件（云应用软件、软件、云管理平台、网管软件）和数据库软件对陕西省财政厅无限量永久使用授权，含软件五年订阅、维保、升级等相关服务，五年内不再支付任何额外费用。3、需确保系统稳定安全运行，每季度进行回访巡检，并出具相关报告及项目提供自验收合格之日起五年的免费质保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rFonts w:ascii="仿宋_GB2312" w:hAnsi="仿宋_GB2312" w:cs="仿宋_GB2312" w:eastAsia="仿宋_GB2312"/>
        </w:rPr>
        <w:t>3、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4、税收缴纳证明：提供自2024年3月1日至今已缴纳的至少一个月的纳税证明或完税证明，纳税证明或完税证明上应有代收机构或税务机关的公章或业务专用章，依法免税的服务商应提供相关文件证明；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5、社会保障资金缴纳证明：提供供应商2024年3月1日至今已缴存的任意一个月的社会保障资金缴存单据或社保机构开具的社会保险参保缴费情况证明；依法不需要缴纳社会保障资金的应提供相关文件证明；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6、前三年内无重大违法记录：参加政府采购活动前3年内，在经营活动中没有重大违法记录；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查询(采购人或采购代理机构开标当天查询,投标人无须提供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9、控股管理关系：本项目不接受联合体投标，投标单位负责人为同一人或者存在控股、管理关系的不同单位，不得参加同一招标项目投标；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高严肃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029-68939289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18392767108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本项目招标代理服务费收取参照国家计委颁布的《招标代理服务收费管理暂行办法》（计价格〔2002〕1980号）和（发改办价格〔2003〕857号）中服务类收费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严格按照《陕西省财政厅网络安全和信息化项目验收管理暂行办法》执行。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联系电话：18392767108</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1、项目服务周期为五年。 2、本项目期内云软件（云应用软件、软件、云管理平台、网管软件）和数据库软件对陕西省财政厅无限量永久使用授权，含软件五年订阅、维保、升级等相关服务，五年内不再支付任何额外费用。3、需确保系统稳定安全运行，每季度进行回访巡检，并出具相关报告。并对本项目提供自验收合格之日起五年的免费质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78,500,000.00</w:t>
      </w:r>
    </w:p>
    <w:p>
      <w:pPr>
        <w:pStyle w:val="null3"/>
      </w:pPr>
      <w:r>
        <w:rPr>
          <w:rFonts w:ascii="仿宋_GB2312" w:hAnsi="仿宋_GB2312" w:cs="仿宋_GB2312" w:eastAsia="仿宋_GB2312"/>
        </w:rPr>
        <w:t>采购包最高限价（元）: 78,500,000.00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预算一体化云平台及数据库续采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标的名称：预算一体化云平台及数据库续采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5"/>
              <w:gridCol w:w="365"/>
              <w:gridCol w:w="1937"/>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参数性质</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序号</w:t>
                  </w:r>
                </w:p>
              </w:tc>
              <w:tc>
                <w:tcPr>
                  <w:tcW w:type="dxa" w:w="1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技术参数与性能指标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Ind w:type="dxa" w:w="90"/>
                    <w:tblBorders>
                      <w:top w:val="none" w:color="000000" w:sz="4"/>
                      <w:left w:val="none" w:color="000000" w:sz="4"/>
                      <w:bottom w:val="none" w:color="000000" w:sz="4"/>
                      <w:right w:val="none" w:color="000000" w:sz="4"/>
                      <w:insideH w:val="none"/>
                      <w:insideV w:val="none"/>
                    </w:tblBorders>
                  </w:tblPr>
                  <w:tblGrid>
                    <w:gridCol w:w="304"/>
                    <w:gridCol w:w="304"/>
                    <w:gridCol w:w="4"/>
                    <w:gridCol w:w="1104"/>
                  </w:tblGrid>
                  <w:tr>
                    <w:tc>
                      <w:tcPr>
                        <w:tcW w:type="dxa" w:w="1716"/>
                        <w:gridSpan w:val="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一、数据库软件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需求分类</w:t>
                        </w:r>
                      </w:p>
                    </w:tc>
                    <w:tc>
                      <w:tcPr>
                        <w:tcW w:type="dxa" w:w="1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需求规格</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采购内容</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服务合同期为5年。</w:t>
                        </w:r>
                        <w:r>
                          <w:br/>
                        </w:r>
                        <w:r>
                          <w:rPr>
                            <w:rFonts w:ascii="仿宋_GB2312" w:hAnsi="仿宋_GB2312" w:cs="仿宋_GB2312" w:eastAsia="仿宋_GB2312"/>
                            <w:sz w:val="20"/>
                            <w:color w:val="000000"/>
                          </w:rPr>
                          <w:t>1、合同期内新增数据库授权5年内不限量；授权许可实际使用量资产归属陕西省财政厅。含5年软件订阅及保障服务及软件规划设计与实施服务。</w:t>
                        </w:r>
                      </w:p>
                      <w:p>
                        <w:pPr>
                          <w:pStyle w:val="null3"/>
                          <w:jc w:val="both"/>
                        </w:pPr>
                        <w:r>
                          <w:rPr>
                            <w:rFonts w:ascii="仿宋_GB2312" w:hAnsi="仿宋_GB2312" w:cs="仿宋_GB2312" w:eastAsia="仿宋_GB2312"/>
                            <w:sz w:val="20"/>
                            <w:color w:val="000000"/>
                          </w:rPr>
                          <w:t>2、含历史合同期内数据库授权使用量对应的5年软件订阅及保障年费。</w:t>
                        </w:r>
                      </w:p>
                      <w:p>
                        <w:pPr>
                          <w:pStyle w:val="null3"/>
                          <w:jc w:val="both"/>
                        </w:pPr>
                        <w:r>
                          <w:rPr>
                            <w:rFonts w:ascii="仿宋_GB2312" w:hAnsi="仿宋_GB2312" w:cs="仿宋_GB2312" w:eastAsia="仿宋_GB2312"/>
                            <w:sz w:val="20"/>
                            <w:color w:val="000000"/>
                          </w:rPr>
                          <w:t>3、需确保系统稳定安全运行，每季度进行回访巡检，并出具相关报告。</w:t>
                        </w:r>
                      </w:p>
                      <w:p>
                        <w:pPr>
                          <w:pStyle w:val="null3"/>
                          <w:jc w:val="both"/>
                        </w:pPr>
                        <w:r>
                          <w:rPr>
                            <w:rFonts w:ascii="仿宋_GB2312" w:hAnsi="仿宋_GB2312" w:cs="仿宋_GB2312" w:eastAsia="仿宋_GB2312"/>
                            <w:sz w:val="19"/>
                          </w:rPr>
                          <w:t>4、</w:t>
                        </w:r>
                        <w:r>
                          <w:rPr>
                            <w:rFonts w:ascii="仿宋_GB2312" w:hAnsi="仿宋_GB2312" w:cs="仿宋_GB2312" w:eastAsia="仿宋_GB2312"/>
                            <w:sz w:val="20"/>
                            <w:color w:val="000000"/>
                          </w:rPr>
                          <w:t>并对本项目提供自验收合格之日起五年的免费质保服务。</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自主知识产权</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非OEM产品，要求国产化数据库产品核心代码完全自主研发，通过行业权威机构（信通院、电子四/五所、中国软件评测中心等）的代码自研率测试并提供盖章测试报告。</w:t>
                        </w:r>
                      </w:p>
                    </w:tc>
                  </w:tr>
                  <w:tr>
                    <w:tc>
                      <w:tcPr>
                        <w:tcW w:type="dxa" w:w="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基础架构</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支持Shared Nothing的分布式架构，支持全分布式并行执行，同时支持集中式、分布式两种部署架构</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符合《数据库政府采购需求标准（2023年版）》同时支持云化与物理机部署，作为云平台的一部分，能够在云管理平台上提供统一服务目录，支持按需分配，自助式订阅和管理。支持对接云平台虚拟专有网络，可支持指定虚拟网络创建数据库实例。</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安全性</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在全周期数据密态、密态数据处理、加密算法与密钥管理、数据库基本能力等方面，满足全密态数据库基础能力测试要求。应通过信通院等工信部下属权威机构全密态基础能力测评，并提供相应证书。</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产品具备高安全性，通过国际和国内权威机构安全保障级(EAL4增强级别)认证，需提供证书影印件或扫描件。</w:t>
                        </w:r>
                      </w:p>
                    </w:tc>
                  </w:tr>
                  <w:tr>
                    <w:tc>
                      <w:tcPr>
                        <w:tcW w:type="dxa" w:w="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性能</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数据库性能效率方面符合HTAP数据库基准测试指导的相关要求，须提供中国软件测评中心等权威第三方的数据库基准测试报告。</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基于标准TPC-C模型，100仓基础数据量下，500并发用户数20分钟执行结果，tpmC高于160万。需提供中国赛宝实验室、中国软件评测中心等工信部下属权威机构的测试报告。</w:t>
                        </w:r>
                      </w:p>
                    </w:tc>
                  </w:tr>
                  <w:tr>
                    <w:tc>
                      <w:tcPr>
                        <w:tcW w:type="dxa" w:w="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兼容性</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ANSI/ISO标准的SQL92、SQL99、SQL2003和SQL2011语法，支持标准的JDBC、odbc、python等驱动接口，支持表、索引、约束、主键、外键、视图和临时表等对象。支持操作符、条件表达式、游标、序列、存储过程、子查询、集合查询、分页查询。</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数据库支持国产化操作系统麒麟、统信、bclinux、openEuler等国产化操作系统，并提供兼容性认证证书。</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扩展性</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具备大规模集群能力，单集群最大支持1000节点，可扩容至128分片，提供官方文档截图证明并加盖厂商公章。</w:t>
                        </w:r>
                      </w:p>
                    </w:tc>
                  </w:tr>
                  <w:tr>
                    <w:tc>
                      <w:tcPr>
                        <w:tcW w:type="dxa" w:w="1716"/>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二、云软件</w:t>
                        </w:r>
                      </w:p>
                    </w:tc>
                  </w:tr>
                  <w:tr>
                    <w:tc>
                      <w:tcPr>
                        <w:tcW w:type="dxa" w:w="1716"/>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1、云应用软件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需求分类</w:t>
                        </w:r>
                      </w:p>
                    </w:tc>
                    <w:tc>
                      <w:tcPr>
                        <w:tcW w:type="dxa" w:w="1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需求规格</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采购内容</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服务合同期为5年。</w:t>
                        </w:r>
                        <w:r>
                          <w:br/>
                        </w:r>
                        <w:r>
                          <w:rPr>
                            <w:rFonts w:ascii="仿宋_GB2312" w:hAnsi="仿宋_GB2312" w:cs="仿宋_GB2312" w:eastAsia="仿宋_GB2312"/>
                            <w:sz w:val="20"/>
                            <w:color w:val="000000"/>
                          </w:rPr>
                          <w:t>云容器引擎授权5年内不限量，微服务管理授权5年内不限量；授权许可实际使用量资产归属陕西省财政厅。含5年软件订阅及保障服务及软件规划设计与实施服务。需确保系统稳定安全运行，每季度进行回访巡检，并出具相关报告。</w:t>
                        </w:r>
                        <w:r>
                          <w:rPr>
                            <w:rFonts w:ascii="仿宋_GB2312" w:hAnsi="仿宋_GB2312" w:cs="仿宋_GB2312" w:eastAsia="仿宋_GB2312"/>
                            <w:sz w:val="20"/>
                            <w:color w:val="000000"/>
                          </w:rPr>
                          <w:t>并对本项目提供自验收合格之日起五年的免费质保服务。</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对接IaaS</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可对接IaaS层，通过OpenStack标准接口与IaaS层进行联动，管理容器需要的虚拟机、网络和存储资源。</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资源集群管理</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集群中可以添加虚拟机节点，提供统一的网络、存储等服务；获取并给用户展示节点详细信息，包括：OS版本、容器版本、CPU、内存、磁盘等</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支持集群休眠与唤醒，暂时不需要使用集群时，通过休眠释放占用的计算资源，需要使用时可以快速唤醒集群继续使用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应用生命周期管理</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提供业界主流编排模型：TOSCA模型、Hlem模型</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提供全托管的Java、Node.JS、Python、PHP多种语言应用运行环境，并定期发布补丁</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支持多种发布策略：单批发布、滚动发布、金丝雀、蓝绿</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支持自动弹性伸缩模式：组件负载满足预先配置的平台组件自动伸缩策略，根据应用负载程度以及用户配置的伸缩策略，实现应用实例的自动扩缩容，并自动完成负载均衡的调整，过程中需确保业务会话不中断</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应用运维</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应用监控：支持节点/容器应用/服务等多种维度的指标监控；支持自定义业务指标采集与监控；通过调用链方式进行性能瓶颈和故障定界；支持一键式可视化巡检，实现应用全方位检查，实时生成巡检报告及巡检建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微服务开发</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支持Spring MVC、JAX-RS、透明RPC注解等方式开发微服务；支持微服务初始化框架配置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支持SpringCloud开发的微服务零代码改造接入</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框架同时支持JSON与Hessian两种序列化格式，增强兼容性；框架同时支持标准Restful与高性能RPC通信协议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应用网关</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应用网关支持HTTP/HTTP2/gRPC/dubbo rpc等多种协议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应用网关支持配置自定义鉴权规则，根据鉴权结果执行路由规则</w:t>
                        </w:r>
                      </w:p>
                    </w:tc>
                  </w:tr>
                  <w:tr>
                    <w:tc>
                      <w:tcPr>
                        <w:tcW w:type="dxa" w:w="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服务治理</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支持降级：对劣质服务的精准屏蔽，确保应用自身能够稳定运行</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支持限流：拒绝超出服务能力的流量。支持对微服务级别和接口级别进行流量控制。支持客户端和服务端流量控制</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支持熔断：当超过一定错误率阀值可自动屏蔽请求，若恢复正常可接触服务熔断状态</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支持容错：多种自动重试和快速失败的服务容错策略。</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支持故障隔离：错误超过阈值时，系统自动隔离实例，不再发起新的调用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微服务故障注入：支持设置微服务接口以一定比例返回错误以模拟故障</w:t>
                        </w:r>
                      </w:p>
                    </w:tc>
                  </w:tr>
                  <w:tr>
                    <w:tc>
                      <w:tcPr>
                        <w:tcW w:type="dxa" w:w="1716"/>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2、云中间件软件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需求分类</w:t>
                        </w:r>
                      </w:p>
                    </w:tc>
                    <w:tc>
                      <w:tcPr>
                        <w:tcW w:type="dxa" w:w="1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需求规格</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采购内容</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服务合同期为5年。</w:t>
                        </w:r>
                        <w:r>
                          <w:br/>
                        </w:r>
                        <w:r>
                          <w:rPr>
                            <w:rFonts w:ascii="仿宋_GB2312" w:hAnsi="仿宋_GB2312" w:cs="仿宋_GB2312" w:eastAsia="仿宋_GB2312"/>
                            <w:sz w:val="20"/>
                            <w:color w:val="000000"/>
                          </w:rPr>
                          <w:t>分布式缓存、API接口服务、消息中间件授权5年内不限量；授权许可实际使用量资产归属陕西省财政厅。含5年软件订阅及保障服务及软件规划设计与实施服务。需确保系统稳定安全运行，每季度进行回访巡检，并出具相关报告。</w:t>
                        </w:r>
                        <w:r>
                          <w:rPr>
                            <w:rFonts w:ascii="仿宋_GB2312" w:hAnsi="仿宋_GB2312" w:cs="仿宋_GB2312" w:eastAsia="仿宋_GB2312"/>
                            <w:sz w:val="20"/>
                            <w:color w:val="000000"/>
                          </w:rPr>
                          <w:t>并对本项目提供自验收合格之日起五年的免费质保服务。</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消息队列</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提供基于Kafka的分布式消息队列服务。 提供消息API 使用消息队列，支持消息队列的创建、查看、删除，支持消息队列的消息发送和消息消费，支持消息API访问的安全认证，支持多个消费组同时对一个消息队列的消息进行消费</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Redis缓存</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提供单机主从集群等丰富类型的缓存，满足高读写性能及快速数据访问的诉求，支持多样的实例类型：单节点、主从、集群，支持分钟级实时监控，读写性能百万级、数据量G级别；支持数据的持久化</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API网关</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提供API托管服务，涵盖API发布、管理、运维的全生命周期管理，支持API生命周期管理，包括创建、发布、下线和删除等；支持服务编排：支持通过定制js脚本，完成服务的编排封装；支持流量控制：用于管控API的请求频率、用户的请求频率和应用的请求频率；流量控制的时间单位可以是秒、分钟、小时或天；提供实时、可视化的API监控，包括：API请求次数、API调用延迟和API错误信息；支持API的在线调试</w:t>
                        </w:r>
                      </w:p>
                    </w:tc>
                  </w:tr>
                  <w:tr>
                    <w:tc>
                      <w:tcPr>
                        <w:tcW w:type="dxa" w:w="1716"/>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3、云管理平台软件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需求分类</w:t>
                        </w:r>
                      </w:p>
                    </w:tc>
                    <w:tc>
                      <w:tcPr>
                        <w:tcW w:type="dxa" w:w="1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需求规格</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采购内容</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服务合同期为5年。</w:t>
                        </w:r>
                        <w:r>
                          <w:br/>
                        </w:r>
                        <w:r>
                          <w:rPr>
                            <w:rFonts w:ascii="仿宋_GB2312" w:hAnsi="仿宋_GB2312" w:cs="仿宋_GB2312" w:eastAsia="仿宋_GB2312"/>
                            <w:sz w:val="20"/>
                            <w:color w:val="000000"/>
                          </w:rPr>
                          <w:t>IaaS云套件(软SDN) 授权5年内不限量；授权许可实际使用量资产归属陕西省财政厅。含5年软件订阅及保障服务及软件规划设计与实施服务。需确保系统稳定安全运行，每季度进行回访巡检，并出具相关报告。</w:t>
                        </w:r>
                        <w:r>
                          <w:rPr>
                            <w:rFonts w:ascii="仿宋_GB2312" w:hAnsi="仿宋_GB2312" w:cs="仿宋_GB2312" w:eastAsia="仿宋_GB2312"/>
                            <w:sz w:val="20"/>
                            <w:color w:val="000000"/>
                          </w:rPr>
                          <w:t>并对本项目提供自验收合格之日起五年的免费质保服务。</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兼容性要求</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扩容不能影响正常运行的业务系统，业务零中断</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云主机服务</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支持云平台管理和业务网络平面物理隔离，管理面网络故障不影响业务面，支持虚拟机HA迁移时通过管理网络，无需占用和影响业务网络流量</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虚拟私有云服务</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支持虚拟私有云（VPC）进行网络隔离，VPC网络环境支持自定义，包括：创建子网，指定子网网段、掩码，子网使用的DNS</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安全组服务</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安全组规则租户可配置，支持设置TCP、UDP、ICMP等协议，可以设置安全组出/入方向；过滤对象可以为IP段（可以指定TCP/UDP的源/目的IP及端口）</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虚拟防火墙服务</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 支持虚拟防火墙服务，用户可以自助进行防火墙以及防火墙规则的申请、修改、删除、禁用/启用；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VDC管理</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可以针对不同的VDC配置服务可见性，可以设置所提供的服务哪些VDC可见，哪些VDC不可见；支持VDC阈值告警能力</w:t>
                        </w:r>
                      </w:p>
                    </w:tc>
                  </w:tr>
                  <w:tr>
                    <w:tc>
                      <w:tcPr>
                        <w:tcW w:type="dxa" w:w="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容量管理</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1、提供系统容量查看视图，支持按地域/资源池/位置/可用分区等维度显示计算、存储、网络等资源使用和分配情况</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2、提供容量趋势分析预测能力，基于历史趋势数据预测已有资源还可以使用的时间</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3、支持资源闲置分析，支持设定闲置资源判定规则；支持资源瓶颈分析，支持设定瓶颈资源判定规则。</w:t>
                        </w:r>
                      </w:p>
                    </w:tc>
                  </w:tr>
                  <w:tr>
                    <w:tc>
                      <w:tcPr>
                        <w:tcW w:type="dxa" w:w="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资源管理</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1、支持管理人员按租户/组织来管理系统内所有资源，包括物理机、虚拟机、镜像、云磁盘、弹性IP、负载均衡、虚拟防火墙、VPC等，支持资源的关联呈现</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2、支持用户将需要申请的多个云服务产品一次性放入购物车，从购物车直接提交批量申请。</w:t>
                        </w:r>
                      </w:p>
                    </w:tc>
                  </w:tr>
                  <w:tr>
                    <w:tc>
                      <w:tcPr>
                        <w:tcW w:type="dxa" w:w="30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3、支持申请云服务实例时指定申请时长，支持到期后支持自动释放或手动延期</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管理系统可靠性</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运营管理平台服务应该保证高可用性，所有云平台内提供管理能力的服务或者组件都应该使用集群或者高可靠的方式进行部署，同时可以对管理系统进行平滑的扩容</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自助运维</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云管理面向租户提供自服务Portal，租户通过自服务Portal申请需要的自助运维云服务；面向管理员提供云运维能力</w:t>
                        </w:r>
                      </w:p>
                    </w:tc>
                  </w:tr>
                  <w:tr>
                    <w:tc>
                      <w:tcPr>
                        <w:tcW w:type="dxa" w:w="1716"/>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4、网关软件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需求分类</w:t>
                        </w:r>
                      </w:p>
                    </w:tc>
                    <w:tc>
                      <w:tcPr>
                        <w:tcW w:type="dxa" w:w="1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需求规格</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采购内容</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服务合同期为5年。</w:t>
                        </w:r>
                        <w:r>
                          <w:br/>
                        </w:r>
                        <w:r>
                          <w:rPr>
                            <w:rFonts w:ascii="仿宋_GB2312" w:hAnsi="仿宋_GB2312" w:cs="仿宋_GB2312" w:eastAsia="仿宋_GB2312"/>
                            <w:sz w:val="20"/>
                            <w:color w:val="000000"/>
                          </w:rPr>
                          <w:t>网管软件授权5年内不限量，包含服务器、存储、网络的硬件监控；授权许可实际使用量资产归属陕西省财政厅。含5年软件订阅及保障服务及软件规划设计与实施服务。需确保系统稳定安全运行，每</w:t>
                        </w:r>
                        <w:r>
                          <w:rPr>
                            <w:rFonts w:ascii="仿宋_GB2312" w:hAnsi="仿宋_GB2312" w:cs="仿宋_GB2312" w:eastAsia="仿宋_GB2312"/>
                            <w:sz w:val="20"/>
                            <w:color w:val="000000"/>
                          </w:rPr>
                          <w:t>季度</w:t>
                        </w:r>
                        <w:r>
                          <w:rPr>
                            <w:rFonts w:ascii="仿宋_GB2312" w:hAnsi="仿宋_GB2312" w:cs="仿宋_GB2312" w:eastAsia="仿宋_GB2312"/>
                            <w:sz w:val="20"/>
                            <w:color w:val="000000"/>
                          </w:rPr>
                          <w:t>进行回访巡检，并出具相关报告。</w:t>
                        </w:r>
                        <w:r>
                          <w:rPr>
                            <w:rFonts w:ascii="仿宋_GB2312" w:hAnsi="仿宋_GB2312" w:cs="仿宋_GB2312" w:eastAsia="仿宋_GB2312"/>
                            <w:sz w:val="20"/>
                            <w:color w:val="000000"/>
                          </w:rPr>
                          <w:t>并对本项目提供自验收合格之日起五年的免费质保服务。</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系统安全性要求</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系统提供分权分域功能，为不同的用户、角色分配不同的设备管理范围和操作权限</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系统应能设置帐号策略、密码策略、IP地址访问控制策略和登录时间策略，并能够强制在线用户退出</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系统提供系统日志、操作日志、安全日志</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故障管理要求</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系统需要支持7*24小时对全网设备告警的实时监控，并支持Email、SMS、webchat形式的告警通知</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性能管理要求</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系统支持对设备的关键性能指标进行监控，并对采集到的性能数据进行统计，方便用户对设备性能进行管理</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支持查看指定设备、指定指标的历史性能数据，以了解设备历史性能趋势</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报表管理要求</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支持根据用户设定的周期自动生成报表，可以通过Email发送，也可以手动导出Excel、PDF、Word格式的报表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网络故障管理要求</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系统支持告警信息中包含与故障关联的信息（如端口故障需关联呈现端口信息、故障信息、链路拓扑信息、历史流量信息、维护经验等）</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网络质量监控要求</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系统支持基于真实流的IP网络实时监测能力，监测结果可实时在拓扑上显示；系统支持丢包率的阈值告警能力，当系统监测到丢包率超过阈值后，可实时通知系统管理员</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服务器设备管理要求</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系统应支持对服务器名称、IP地址、在线状态、健康状态、类型、型号、描述、信息刷新时间等基本信息以及电源、风扇、CPU、内存、硬盘、主板、交换板等部件信息进行管理</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存储子网管理要求</w:t>
                        </w: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系统应支持通过单个添加、批量导入、自动发现方式发现存储设备和主机</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vMerge/>
                        <w:tcBorders>
                          <w:top w:val="none" w:color="000000" w:sz="4"/>
                          <w:left w:val="none" w:color="000000" w:sz="4"/>
                          <w:bottom w:val="single" w:color="000000" w:sz="4"/>
                          <w:right w:val="single" w:color="000000" w:sz="4"/>
                        </w:tcBorders>
                      </w:tcPr>
                      <w:p/>
                    </w:tc>
                    <w:tc>
                      <w:tcPr>
                        <w:tcW w:type="dxa" w:w="1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系统应支持管理存储设备、主机的基本信息和组件详情信息，包括设备名称、IP地址、设备描述、序列号、软件版本、设备型号、磁盘数量、容量、厂商、操作系统类型等</w:t>
                        </w:r>
                      </w:p>
                    </w:tc>
                  </w:tr>
                </w:tbl>
                <w:p>
                  <w:pPr>
                    <w:pStyle w:val="null3"/>
                    <w:jc w:val="both"/>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1、项目服务周期为五年。 2、本项目期内云软件（云应用软件、软件、云管理平台、网管软件）和数据库软件对陕西省财政厅无限量永久使用授权，含软件五年订阅、维保、升级等相关服务，五年内不再支付任何额外费用。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严格按照《陕西省财政厅网络安全和信息化项目验收管理暂行办法》执行。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（1）首期款：本项目首期款以甲方财政资金实际到位后，乙方书面提出支付申请函及与拟支付金额等额的符合甲方财务管理要求的相应发票，甲方确认后启动首期款支付流程，即人民币 元整（¥ 元）</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（2）二期款：本项目服务12个月后，乙方书面提出支付申请函及与拟支付金额等额的符合甲方财务管理要求的相应发票，甲方确认后启动支付流程，即人民币 元整（¥ 元）</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（3）三期款：本项目项目服务 24个月后，乙方书面提出支付申请函及与拟支付金额等额的符合甲方财务管理要求的相应发票，即人民币 元整（¥ 元）</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（4）四期款：本项目项目服务36个月后，乙方书面提出支付申请函及与拟支付金额等额的符合甲方财务管理要求的相应发票，甲方确认后启动支付流程，即人民币 元整（¥ 元）</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（5）尾款：本项目经甲方评价验收后30个工作日内，依据甲方服务评价结果确认的金额，乙方书面提出支付申请函及与拟支付金额等额的符合甲方财务管理要求的相应发票，甲方确认后启动尾款支付流程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提供自2024年3月1日至今已缴纳的至少一个月的纳税证明或完税证明，纳税证明或完税证明上应有代收机构或税务机关的公章或业务专用章，依法免税的服务商应提供相关文件证明；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提供供应商2024年3月1日至今已缴存的任意一个月的社会保障资金缴存单据或社保机构开具的社会保险参保缴费情况证明；依法不需要缴纳社会保障资金的应提供相关文件证明；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信用查询(采购人或采购代理机构开标当天查询,投标人无须提供截图)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响应文件上签字、盖章齐全</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投标文件完整性及响应性</w:t>
            </w:r>
          </w:p>
        </w:tc>
        <w:tc>
          <w:tcPr>
            <w:tcW w:type="dxa" w:w="3322"/>
          </w:tcPr>
          <w:p>
            <w:pPr>
              <w:pStyle w:val="null3"/>
            </w:pPr>
            <w:r>
              <w:rPr>
                <w:rFonts w:ascii="仿宋_GB2312" w:hAnsi="仿宋_GB2312" w:cs="仿宋_GB2312" w:eastAsia="仿宋_GB2312"/>
              </w:rPr>
              <w:t>投标文件构成无缺项且响应招标文件</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企业认证</w:t>
            </w:r>
          </w:p>
        </w:tc>
        <w:tc>
          <w:tcPr>
            <w:tcW w:type="dxa" w:w="2492"/>
          </w:tcPr>
          <w:p>
            <w:pPr>
              <w:pStyle w:val="null3"/>
            </w:pPr>
            <w:r>
              <w:rPr>
                <w:rFonts w:ascii="仿宋_GB2312" w:hAnsi="仿宋_GB2312" w:cs="仿宋_GB2312" w:eastAsia="仿宋_GB2312"/>
              </w:rPr>
              <w:t>安全服务认证： ①具备信息安全服务资质认证证书，提供三种类别及以上，得2分； ②具备ITSS信息技术服务运行维护标准符合性证书二级或以上得1分。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①投标人具有有效的ISO9001或GB/TL9000质量管理体系认证证书的得1分； ②具有有效的ISO/IEC20000信息技术服务管理体系认证证书得1分； ③具有有效的ISO/IEC27001信息安全管理体系认证证书得1分。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投标人拟派项目经理和项目总监，具体要求如下： ①项目总监：具备信息系统项目高级管理师认证，得1分。 ②项目经理：提供5名人员，具有PMP项目管理认证证书，少1名扣1分，扣完为止。 证明文件：人员证书及投标人为以上团队成员缴纳的近6个月以来社会保障资金缴存单据或社保局出具的社保清单。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拟派项目团队成员</w:t>
            </w:r>
          </w:p>
        </w:tc>
        <w:tc>
          <w:tcPr>
            <w:tcW w:type="dxa" w:w="2492"/>
          </w:tcPr>
          <w:p>
            <w:pPr>
              <w:pStyle w:val="null3"/>
            </w:pPr>
            <w:r>
              <w:rPr>
                <w:rFonts w:ascii="仿宋_GB2312" w:hAnsi="仿宋_GB2312" w:cs="仿宋_GB2312" w:eastAsia="仿宋_GB2312"/>
              </w:rPr>
              <w:t>投标人拟派服务团队成员具体要求如下（项目团队成员与项目负责人证书不可重复计算）： ①至少5名及以上人员具有ITIL Foundation认证证书得2分。 ②至少3名及以上人员具有CCIE/HCIE认证证书得1分。 ③提供通信工程高级工程师1名及以上，得1分。 证明文件：证书及投标人为以上团队成员缴纳的近6个月以来社会保障资金缴存单据或社保局出具的社保清单。未提供不得分。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投标人提供2022年1月至今同类业绩（同类业绩指：云平台、数据库等）以合同签订日期为准： ①合同金额≥1000万元的，每提供一个得1分，最多提供5个； ②500万元≤合同金额＜1000万元的，每提供一个得0.5分，最多提供5个； ③300万元≤合同金额＜500万元的，每提供一个得0.2分，最多提供10个。以上合同不重复得分，本项满分5分。 证明文件：提供合同复印件或扫描件加盖投标人公章。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项目整体方案</w:t>
            </w:r>
          </w:p>
        </w:tc>
        <w:tc>
          <w:tcPr>
            <w:tcW w:type="dxa" w:w="2492"/>
          </w:tcPr>
          <w:p>
            <w:pPr>
              <w:pStyle w:val="null3"/>
            </w:pPr>
            <w:r>
              <w:rPr>
                <w:rFonts w:ascii="仿宋_GB2312" w:hAnsi="仿宋_GB2312" w:cs="仿宋_GB2312" w:eastAsia="仿宋_GB2312"/>
              </w:rPr>
              <w:t>方案需包括但不限于需求分析、总体架构、技术架构、组网、统一运营、统一运维、项目实施方案等内容。 ①整体方案描述完整详细，切合实际，针对性极强，痛点分析精准，解决方案明确，得15分。 ②整体方案覆盖主要业务模块，痛点分析合理，针对性较好，解决方案较为清晰，得12分。 ③整体方案需求分析基本完整，但缺乏量化及针对性，解决方案与业务关联度一般，得7分。 ④方案完整度欠佳，需求分析存在盲区，仅罗列基础需求，针对性欠佳，得4分。 ⑤方案描述碎片化，与需求契合度低，无针对性，得2分。 未提供或内容无关不得分。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设计能力指标1</w:t>
            </w:r>
          </w:p>
        </w:tc>
        <w:tc>
          <w:tcPr>
            <w:tcW w:type="dxa" w:w="2492"/>
          </w:tcPr>
          <w:p>
            <w:pPr>
              <w:pStyle w:val="null3"/>
            </w:pPr>
            <w:r>
              <w:rPr>
                <w:rFonts w:ascii="仿宋_GB2312" w:hAnsi="仿宋_GB2312" w:cs="仿宋_GB2312" w:eastAsia="仿宋_GB2312"/>
              </w:rPr>
              <w:t>技术参数应答：满足招标文件中技术参数与性能指标要求的得5分。一项不满足扣0.5分，扣完为止。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设计能力指标2</w:t>
            </w:r>
          </w:p>
        </w:tc>
        <w:tc>
          <w:tcPr>
            <w:tcW w:type="dxa" w:w="2492"/>
          </w:tcPr>
          <w:p>
            <w:pPr>
              <w:pStyle w:val="null3"/>
            </w:pPr>
            <w:r>
              <w:rPr>
                <w:rFonts w:ascii="仿宋_GB2312" w:hAnsi="仿宋_GB2312" w:cs="仿宋_GB2312" w:eastAsia="仿宋_GB2312"/>
              </w:rPr>
              <w:t>为保障云平台具备完善的售后服务体系，所投云平台产品原厂商CTEAS售后服务体系。 ①完善程度卓越（七星）的得5分；②认证程度优秀（六星）的得3分；③完善程度达标（五星）得1分， 需提供证书并加盖原厂公章。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设计能力指标3</w:t>
            </w:r>
          </w:p>
        </w:tc>
        <w:tc>
          <w:tcPr>
            <w:tcW w:type="dxa" w:w="2492"/>
          </w:tcPr>
          <w:p>
            <w:pPr>
              <w:pStyle w:val="null3"/>
            </w:pPr>
            <w:r>
              <w:rPr>
                <w:rFonts w:ascii="仿宋_GB2312" w:hAnsi="仿宋_GB2312" w:cs="仿宋_GB2312" w:eastAsia="仿宋_GB2312"/>
              </w:rPr>
              <w:t>云平台符合国家标准《信息技术云服务运营能力通用要求》，并通过ITSS云计算服务能力标准认证，公有云IAAS解决方案和私有云IAAS解决方案均获得ITSS云计算服务能力二级及以上证书，提供证书复印件证明。 ①其中提供一级证明材料得5分， ②提供二级证明材料得2分， 未提供不得分。 需提供证书并加盖原厂公章。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设计能力指标4</w:t>
            </w:r>
          </w:p>
        </w:tc>
        <w:tc>
          <w:tcPr>
            <w:tcW w:type="dxa" w:w="2492"/>
          </w:tcPr>
          <w:p>
            <w:pPr>
              <w:pStyle w:val="null3"/>
            </w:pPr>
            <w:r>
              <w:rPr>
                <w:rFonts w:ascii="仿宋_GB2312" w:hAnsi="仿宋_GB2312" w:cs="仿宋_GB2312" w:eastAsia="仿宋_GB2312"/>
              </w:rPr>
              <w:t>数据库应安全可靠，所投产品通过中国信息安全测评中心的安全可靠产品测评，满足I级得2分，不满足不得分。须提供中国信息安全测评中心网站（http://www.itsec.gov.cn）公告截图并加盖原厂公章。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设计能力指标5</w:t>
            </w:r>
          </w:p>
        </w:tc>
        <w:tc>
          <w:tcPr>
            <w:tcW w:type="dxa" w:w="2492"/>
          </w:tcPr>
          <w:p>
            <w:pPr>
              <w:pStyle w:val="null3"/>
            </w:pPr>
            <w:r>
              <w:rPr>
                <w:rFonts w:ascii="仿宋_GB2312" w:hAnsi="仿宋_GB2312" w:cs="仿宋_GB2312" w:eastAsia="仿宋_GB2312"/>
              </w:rPr>
              <w:t>为保证数据库能够更好的支撑业务运行，发挥云化优势，所投数据库产品具备云服务能力，通过信通院关系型云数据库基础能力专项评测检验，获得相应证书。提供得5分。 未提供不得分。 需提供证书并加盖原厂公章。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设计能力指标6</w:t>
            </w:r>
          </w:p>
        </w:tc>
        <w:tc>
          <w:tcPr>
            <w:tcW w:type="dxa" w:w="2492"/>
          </w:tcPr>
          <w:p>
            <w:pPr>
              <w:pStyle w:val="null3"/>
            </w:pPr>
            <w:r>
              <w:rPr>
                <w:rFonts w:ascii="仿宋_GB2312" w:hAnsi="仿宋_GB2312" w:cs="仿宋_GB2312" w:eastAsia="仿宋_GB2312"/>
              </w:rPr>
              <w:t>为保证数据库替换高效稳定，数据库厂家具备较强的数据库迁移能力，提供信通院或工信部下属权威机构的出具的数据库应用迁移服务能力等级认证证书。 ①满足3级得5分， ②满足2级得2分， 未提供不得分。 需提供证书并加盖原厂公章。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投标人能够根据采购需求，提供售后服务方案，应至少涵盖但不限于售后服务流程、售后服务内容、响应时间、售后服务质量监督。 ①售后服务方案今覆盖要求，流程详细，响应时间分级明确，质量监督有第三方机制或管理制度，并提供额外服务如定期巡检或培训，得8分。 ②售后服务方案覆盖要求，流程基本完整，响应时间明确，有内部质量监督机制，得6分。 ③售后服务方案流程较为简化，响应时间及质量监督不明确或不切实际，得3分。 ④售后服务方案内容简单无针对性，缺乏具体措施，得1分。 未提供或内容无关不得分。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对本项目提供自验收合格之日起五年的免费质保服务。提供的后期运维保障团队实力、本地化服务能力、服务承诺等。 ①后期服务保障完整，对免费质保服务有切合实际的方案及稳定团队得10分。 ②后期服务保障较为完整，对免费质保有较好的落地实施方案，得8分。 ③后期服务保障完整度欠佳，免费质保落地性一般，得6分。 ④后期服务保障较差，免费质保方案不缺实际，无法应用，得3分。 未提供或内容无关不得分。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①提供的培训方案全面、内容详实、计划周密、针对性强，可操作性强的得9分； ②培训方案较全面、计划较为周密、可操作性较好，得6分， ③培训方案全面性欠缺，与需求有所偏差，计划周密性欠缺，得2分。 未提供或内容无关不得分。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者为评审基准价，其价格分值为满分10分。报价得分=（评审基准价/最终报价）×价格分值符合招标文件规定的小微企业、残疾人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详见附件：第7章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