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版本号：SZT2025-SN-SC-ZC-FW-006920250407001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主院区（干部体检）CT球管更换及体外膜肺氧合仪维保服务采购项目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SZT2025-SN-SC-ZC-FW-0069</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主院区（干部体检）CT球管更换及体外膜肺氧合仪维保服务采购项目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SZT2025-SN-SC-ZC-FW-0069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主院区（干部体检）CT球管更换及体外膜肺氧合仪维保服务采购项目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包1：（干部体检）CT球管更换；包2：体外膜肺氧合仪维保</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2、单一授权：供应商需提供原设备厂商针对本项目出具的授权；</w:t>
      </w:r>
    </w:p>
    <w:p>
      <w:pPr>
        <w:pStyle w:val="null3"/>
      </w:pPr>
      <w:r>
        <w:rPr>
          <w:rFonts w:ascii="仿宋_GB2312" w:hAnsi="仿宋_GB2312" w:cs="仿宋_GB2312" w:eastAsia="仿宋_GB2312"/>
        </w:rPr>
        <w:t>3、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供应商应授权合法的人员参加协商全过程，其中法定代表人直接参加的，须提供法定代表人身份证，并与营业执照上信息一致。法定代表人授权代表参加的，须提供法定代表人授权书及授权代表身份证；</w:t>
      </w:r>
    </w:p>
    <w:p>
      <w:pPr>
        <w:pStyle w:val="null3"/>
      </w:pPr>
      <w:r>
        <w:rPr>
          <w:rFonts w:ascii="仿宋_GB2312" w:hAnsi="仿宋_GB2312" w:cs="仿宋_GB2312" w:eastAsia="仿宋_GB2312"/>
        </w:rPr>
        <w:t>2、单一授权：供应商需提供原设备厂商针对本项目出具的授权；</w:t>
      </w:r>
    </w:p>
    <w:p>
      <w:pPr>
        <w:pStyle w:val="null3"/>
      </w:pPr>
      <w:r>
        <w:rPr>
          <w:rFonts w:ascii="仿宋_GB2312" w:hAnsi="仿宋_GB2312" w:cs="仿宋_GB2312" w:eastAsia="仿宋_GB2312"/>
        </w:rPr>
        <w:t>3、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采购包2：155,000.00元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采购包2：155,000.00元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按照成交金额差额定率累进法计算（成交金额100万以下按规定收取，100万-500万按下浮20%收取，500万-1000万按下浮25%收取，1000 万以上按下浮30%收取）。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⑴本合同及附件文本所约定的验收标准； ⑵谈判文件、响应文件、澄清表（函）； ⑶国家相应的标准、规范。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⑴本合同及附件文本所约定的验收标准； ⑵谈判文件、响应文件、澄清表（函）； ⑶国家相应的标准、规范。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包1：（干部体检）CT球管更换；包2：体外膜肺氧合仪维保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体外膜肺氧合仪维保服务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标的名称：更换球管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（干部体检）CT球管更换</w:t>
            </w:r>
          </w:p>
        </w:tc>
        <w:tc>
          <w:tcPr>
            <w:tcW w:type="dxa" w:w="2076"/>
          </w:tcPr>
          <w:p>
            <w:pPr>
              <w:pStyle w:val="null3"/>
              <w:jc w:val="center"/>
            </w:pPr>
            <w:r>
              <w:rPr>
                <w:rFonts w:ascii="仿宋_GB2312" w:hAnsi="仿宋_GB2312" w:cs="仿宋_GB2312" w:eastAsia="仿宋_GB2312"/>
                <w:sz w:val="20"/>
              </w:rPr>
              <w:t>球管技术参数</w:t>
            </w:r>
          </w:p>
          <w:p>
            <w:pPr>
              <w:pStyle w:val="null3"/>
              <w:ind w:left="420"/>
            </w:pPr>
            <w:r>
              <w:rPr>
                <w:rFonts w:ascii="仿宋_GB2312" w:hAnsi="仿宋_GB2312" w:cs="仿宋_GB2312" w:eastAsia="仿宋_GB2312"/>
                <w:sz w:val="20"/>
              </w:rPr>
              <w:t>一、</w:t>
            </w:r>
            <w:r>
              <w:rPr>
                <w:rFonts w:ascii="仿宋_GB2312" w:hAnsi="仿宋_GB2312" w:cs="仿宋_GB2312" w:eastAsia="仿宋_GB2312"/>
                <w:sz w:val="20"/>
              </w:rPr>
              <w:t>设备名称：主院区（干部体检）</w:t>
            </w:r>
            <w:r>
              <w:rPr>
                <w:rFonts w:ascii="仿宋_GB2312" w:hAnsi="仿宋_GB2312" w:cs="仿宋_GB2312" w:eastAsia="仿宋_GB2312"/>
                <w:sz w:val="20"/>
              </w:rPr>
              <w:t>CT</w:t>
            </w:r>
          </w:p>
          <w:p>
            <w:pPr>
              <w:pStyle w:val="null3"/>
              <w:ind w:left="420"/>
            </w:pPr>
            <w:r>
              <w:rPr>
                <w:rFonts w:ascii="仿宋_GB2312" w:hAnsi="仿宋_GB2312" w:cs="仿宋_GB2312" w:eastAsia="仿宋_GB2312"/>
                <w:sz w:val="20"/>
              </w:rPr>
              <w:t>型号：</w:t>
            </w:r>
            <w:r>
              <w:rPr>
                <w:rFonts w:ascii="仿宋_GB2312" w:hAnsi="仿宋_GB2312" w:cs="仿宋_GB2312" w:eastAsia="仿宋_GB2312"/>
                <w:sz w:val="20"/>
              </w:rPr>
              <w:t>Aquilion/ one Vision</w:t>
            </w:r>
          </w:p>
          <w:p>
            <w:pPr>
              <w:pStyle w:val="null3"/>
              <w:ind w:left="420"/>
            </w:pPr>
            <w:r>
              <w:rPr>
                <w:rFonts w:ascii="仿宋_GB2312" w:hAnsi="仿宋_GB2312" w:cs="仿宋_GB2312" w:eastAsia="仿宋_GB2312"/>
                <w:sz w:val="20"/>
              </w:rPr>
              <w:t>序列号：</w:t>
            </w:r>
            <w:r>
              <w:rPr>
                <w:rFonts w:ascii="仿宋_GB2312" w:hAnsi="仿宋_GB2312" w:cs="仿宋_GB2312" w:eastAsia="仿宋_GB2312"/>
                <w:sz w:val="20"/>
              </w:rPr>
              <w:t>3EA15Z2091</w:t>
            </w:r>
          </w:p>
          <w:p>
            <w:pPr>
              <w:pStyle w:val="null3"/>
              <w:ind w:left="420"/>
            </w:pPr>
            <w:r>
              <w:rPr>
                <w:rFonts w:ascii="仿宋_GB2312" w:hAnsi="仿宋_GB2312" w:cs="仿宋_GB2312" w:eastAsia="仿宋_GB2312"/>
                <w:sz w:val="20"/>
              </w:rPr>
              <w:t>二、</w:t>
            </w:r>
            <w:r>
              <w:rPr>
                <w:rFonts w:ascii="仿宋_GB2312" w:hAnsi="仿宋_GB2312" w:cs="仿宋_GB2312" w:eastAsia="仿宋_GB2312"/>
                <w:sz w:val="20"/>
              </w:rPr>
              <w:t>故障说明：曝光</w:t>
            </w:r>
            <w:r>
              <w:rPr>
                <w:rFonts w:ascii="仿宋_GB2312" w:hAnsi="仿宋_GB2312" w:cs="仿宋_GB2312" w:eastAsia="仿宋_GB2312"/>
                <w:sz w:val="20"/>
              </w:rPr>
              <w:t>失败，球管故障</w:t>
            </w:r>
          </w:p>
          <w:p>
            <w:pPr>
              <w:pStyle w:val="null3"/>
              <w:ind w:left="420"/>
            </w:pPr>
            <w:r>
              <w:rPr>
                <w:rFonts w:ascii="仿宋_GB2312" w:hAnsi="仿宋_GB2312" w:cs="仿宋_GB2312" w:eastAsia="仿宋_GB2312"/>
                <w:sz w:val="20"/>
              </w:rPr>
              <w:t>三、</w:t>
            </w:r>
            <w:r>
              <w:rPr>
                <w:rFonts w:ascii="仿宋_GB2312" w:hAnsi="仿宋_GB2312" w:cs="仿宋_GB2312" w:eastAsia="仿宋_GB2312"/>
                <w:sz w:val="20"/>
              </w:rPr>
              <w:t>解决方案：</w:t>
            </w:r>
            <w:r>
              <w:rPr>
                <w:rFonts w:ascii="仿宋_GB2312" w:hAnsi="仿宋_GB2312" w:cs="仿宋_GB2312" w:eastAsia="仿宋_GB2312"/>
                <w:sz w:val="20"/>
              </w:rPr>
              <w:t>CT球管故障，</w:t>
            </w:r>
            <w:r>
              <w:rPr>
                <w:rFonts w:ascii="仿宋_GB2312" w:hAnsi="仿宋_GB2312" w:cs="仿宋_GB2312" w:eastAsia="仿宋_GB2312"/>
                <w:sz w:val="20"/>
              </w:rPr>
              <w:t>需更换球管</w:t>
            </w:r>
          </w:p>
          <w:p>
            <w:pPr>
              <w:pStyle w:val="null3"/>
              <w:ind w:left="420"/>
            </w:pPr>
            <w:r>
              <w:rPr>
                <w:rFonts w:ascii="仿宋_GB2312" w:hAnsi="仿宋_GB2312" w:cs="仿宋_GB2312" w:eastAsia="仿宋_GB2312"/>
                <w:sz w:val="20"/>
              </w:rPr>
              <w:t>四、</w:t>
            </w:r>
            <w:r>
              <w:rPr>
                <w:rFonts w:ascii="仿宋_GB2312" w:hAnsi="仿宋_GB2312" w:cs="仿宋_GB2312" w:eastAsia="仿宋_GB2312"/>
                <w:sz w:val="20"/>
              </w:rPr>
              <w:t>需采购配件的名称及型号数量</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备件名称：球管</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数量：</w:t>
            </w:r>
            <w:r>
              <w:rPr>
                <w:rFonts w:ascii="仿宋_GB2312" w:hAnsi="仿宋_GB2312" w:cs="仿宋_GB2312" w:eastAsia="仿宋_GB2312"/>
                <w:sz w:val="20"/>
              </w:rPr>
              <w:t>1</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rPr>
              <w:t>型号：</w:t>
            </w:r>
            <w:r>
              <w:rPr>
                <w:rFonts w:ascii="仿宋_GB2312" w:hAnsi="仿宋_GB2312" w:cs="仿宋_GB2312" w:eastAsia="仿宋_GB2312"/>
                <w:sz w:val="20"/>
              </w:rPr>
              <w:t>CXB-750F</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管电压：</w:t>
            </w:r>
            <w:r>
              <w:rPr>
                <w:rFonts w:ascii="仿宋_GB2312" w:hAnsi="仿宋_GB2312" w:cs="仿宋_GB2312" w:eastAsia="仿宋_GB2312"/>
                <w:sz w:val="20"/>
              </w:rPr>
              <w:t>140KV</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阳极直径：</w:t>
            </w:r>
            <w:r>
              <w:rPr>
                <w:rFonts w:ascii="仿宋_GB2312" w:hAnsi="仿宋_GB2312" w:cs="仿宋_GB2312" w:eastAsia="仿宋_GB2312"/>
                <w:sz w:val="20"/>
              </w:rPr>
              <w:t>200mm</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阳极角度：</w:t>
            </w:r>
            <w:r>
              <w:rPr>
                <w:rFonts w:ascii="仿宋_GB2312" w:hAnsi="仿宋_GB2312" w:cs="仿宋_GB2312" w:eastAsia="仿宋_GB2312"/>
                <w:sz w:val="20"/>
              </w:rPr>
              <w:t>10°</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热容量：</w:t>
            </w:r>
            <w:r>
              <w:rPr>
                <w:rFonts w:ascii="仿宋_GB2312" w:hAnsi="仿宋_GB2312" w:cs="仿宋_GB2312" w:eastAsia="仿宋_GB2312"/>
                <w:sz w:val="20"/>
              </w:rPr>
              <w:t>7.5MHU</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焦点：</w:t>
            </w:r>
            <w:r>
              <w:rPr>
                <w:rFonts w:ascii="仿宋_GB2312" w:hAnsi="仿宋_GB2312" w:cs="仿宋_GB2312" w:eastAsia="仿宋_GB2312"/>
                <w:sz w:val="20"/>
              </w:rPr>
              <w:t>1.6mmx1.5mm</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0.9mmx0.8mm</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最长螺旋扫描时间：</w:t>
            </w:r>
            <w:r>
              <w:rPr>
                <w:rFonts w:ascii="仿宋_GB2312" w:hAnsi="仿宋_GB2312" w:cs="仿宋_GB2312" w:eastAsia="仿宋_GB2312"/>
                <w:sz w:val="20"/>
              </w:rPr>
              <w:t>100s</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最大管电流：</w:t>
            </w:r>
            <w:r>
              <w:rPr>
                <w:rFonts w:ascii="仿宋_GB2312" w:hAnsi="仿宋_GB2312" w:cs="仿宋_GB2312" w:eastAsia="仿宋_GB2312"/>
                <w:sz w:val="20"/>
              </w:rPr>
              <w:t>600m</w:t>
            </w:r>
            <w:r>
              <w:rPr>
                <w:rFonts w:ascii="仿宋_GB2312" w:hAnsi="仿宋_GB2312" w:cs="仿宋_GB2312" w:eastAsia="仿宋_GB2312"/>
                <w:sz w:val="20"/>
              </w:rPr>
              <w:t>A</w:t>
            </w:r>
          </w:p>
          <w:p>
            <w:pPr>
              <w:pStyle w:val="null3"/>
              <w:ind w:left="420"/>
            </w:pPr>
            <w:r>
              <w:rPr>
                <w:rFonts w:ascii="仿宋_GB2312" w:hAnsi="仿宋_GB2312" w:cs="仿宋_GB2312" w:eastAsia="仿宋_GB2312"/>
                <w:sz w:val="20"/>
              </w:rPr>
              <w:t xml:space="preserve">   </w:t>
            </w:r>
            <w:r>
              <w:rPr>
                <w:rFonts w:ascii="仿宋_GB2312" w:hAnsi="仿宋_GB2312" w:cs="仿宋_GB2312" w:eastAsia="仿宋_GB2312"/>
                <w:sz w:val="20"/>
              </w:rPr>
              <w:t>最大热耗散：</w:t>
            </w:r>
            <w:r>
              <w:rPr>
                <w:rFonts w:ascii="仿宋_GB2312" w:hAnsi="仿宋_GB2312" w:cs="仿宋_GB2312" w:eastAsia="仿宋_GB2312"/>
                <w:sz w:val="20"/>
              </w:rPr>
              <w:t>16.5kw</w:t>
            </w:r>
          </w:p>
          <w:p>
            <w:pPr>
              <w:pStyle w:val="null3"/>
              <w:jc w:val="both"/>
            </w:pPr>
            <w:r>
              <w:rPr>
                <w:rFonts w:ascii="仿宋_GB2312" w:hAnsi="仿宋_GB2312" w:cs="仿宋_GB2312" w:eastAsia="仿宋_GB2312"/>
                <w:sz w:val="20"/>
              </w:rPr>
              <w:t>质保期：自合同签订后</w:t>
            </w:r>
            <w:r>
              <w:rPr>
                <w:rFonts w:ascii="仿宋_GB2312" w:hAnsi="仿宋_GB2312" w:cs="仿宋_GB2312" w:eastAsia="仿宋_GB2312"/>
                <w:sz w:val="20"/>
              </w:rPr>
              <w:t>12个月或不少于20万曝光次数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标的名称：体外膜肺氧合仪维保服务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体外膜肺氧合仪维保</w:t>
            </w:r>
          </w:p>
        </w:tc>
        <w:tc>
          <w:tcPr>
            <w:tcW w:type="dxa" w:w="2076"/>
          </w:tcPr>
          <w:p>
            <w:pPr>
              <w:pStyle w:val="null3"/>
              <w:jc w:val="both"/>
            </w:pPr>
            <w:r>
              <w:rPr>
                <w:rFonts w:ascii="仿宋_GB2312" w:hAnsi="仿宋_GB2312" w:cs="仿宋_GB2312" w:eastAsia="仿宋_GB2312"/>
                <w:sz w:val="20"/>
              </w:rPr>
              <w:t>设备名称：体外膜肺氧合仪</w:t>
            </w:r>
            <w:r>
              <w:rPr>
                <w:rFonts w:ascii="仿宋_GB2312" w:hAnsi="仿宋_GB2312" w:cs="仿宋_GB2312" w:eastAsia="仿宋_GB2312"/>
                <w:sz w:val="20"/>
              </w:rPr>
              <w:t>(ECMO)</w:t>
            </w:r>
          </w:p>
          <w:p>
            <w:pPr>
              <w:pStyle w:val="null3"/>
              <w:jc w:val="both"/>
            </w:pPr>
            <w:r>
              <w:rPr>
                <w:rFonts w:ascii="仿宋_GB2312" w:hAnsi="仿宋_GB2312" w:cs="仿宋_GB2312" w:eastAsia="仿宋_GB2312"/>
                <w:sz w:val="20"/>
              </w:rPr>
              <w:t>设备型号：</w:t>
            </w:r>
            <w:r>
              <w:rPr>
                <w:rFonts w:ascii="仿宋_GB2312" w:hAnsi="仿宋_GB2312" w:cs="仿宋_GB2312" w:eastAsia="仿宋_GB2312"/>
                <w:sz w:val="20"/>
              </w:rPr>
              <w:t>Rotaflow</w:t>
            </w:r>
          </w:p>
          <w:p>
            <w:pPr>
              <w:pStyle w:val="null3"/>
              <w:jc w:val="both"/>
            </w:pPr>
            <w:r>
              <w:rPr>
                <w:rFonts w:ascii="仿宋_GB2312" w:hAnsi="仿宋_GB2312" w:cs="仿宋_GB2312" w:eastAsia="仿宋_GB2312"/>
                <w:sz w:val="20"/>
              </w:rPr>
              <w:t>设备序列号：</w:t>
            </w:r>
            <w:r>
              <w:rPr>
                <w:rFonts w:ascii="仿宋_GB2312" w:hAnsi="仿宋_GB2312" w:cs="仿宋_GB2312" w:eastAsia="仿宋_GB2312"/>
                <w:sz w:val="20"/>
              </w:rPr>
              <w:t>94175805</w:t>
            </w:r>
          </w:p>
          <w:p>
            <w:pPr>
              <w:pStyle w:val="null3"/>
              <w:jc w:val="both"/>
            </w:pPr>
            <w:r>
              <w:rPr>
                <w:rFonts w:ascii="仿宋_GB2312" w:hAnsi="仿宋_GB2312" w:cs="仿宋_GB2312" w:eastAsia="仿宋_GB2312"/>
                <w:sz w:val="20"/>
              </w:rPr>
              <w:t>维保服务内容：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整机保修壹年，保修期内</w:t>
            </w:r>
            <w:r>
              <w:rPr>
                <w:rFonts w:ascii="仿宋_GB2312" w:hAnsi="仿宋_GB2312" w:cs="仿宋_GB2312" w:eastAsia="仿宋_GB2312"/>
                <w:sz w:val="20"/>
              </w:rPr>
              <w:t>2小时响应，24小时到现场服务。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维保内免费提供原厂配件，且享有配件优先供应权。</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保证</w:t>
            </w:r>
            <w:r>
              <w:rPr>
                <w:rFonts w:ascii="仿宋_GB2312" w:hAnsi="仿宋_GB2312" w:cs="仿宋_GB2312" w:eastAsia="仿宋_GB2312"/>
                <w:sz w:val="20"/>
              </w:rPr>
              <w:t>95%的开机率（按365天计算）。</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保修期内免费保养一次（含保养套件）。</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所有维保内容由西安驻地具有维修资质原厂工程师提供服务。</w:t>
            </w:r>
          </w:p>
          <w:p>
            <w:pPr>
              <w:pStyle w:val="null3"/>
              <w:jc w:val="both"/>
            </w:pPr>
            <w:r>
              <w:rPr>
                <w:rFonts w:ascii="仿宋_GB2312" w:hAnsi="仿宋_GB2312" w:cs="仿宋_GB2312" w:eastAsia="仿宋_GB2312"/>
                <w:sz w:val="20"/>
              </w:rPr>
              <w:t>技术内容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若因故障维修后保证设备各类安全报警齐全：</w:t>
            </w:r>
          </w:p>
          <w:p>
            <w:pPr>
              <w:pStyle w:val="null3"/>
              <w:jc w:val="both"/>
            </w:pPr>
            <w:r>
              <w:rPr>
                <w:rFonts w:ascii="仿宋_GB2312" w:hAnsi="仿宋_GB2312" w:cs="仿宋_GB2312" w:eastAsia="仿宋_GB2312"/>
                <w:sz w:val="20"/>
              </w:rPr>
              <w:t>1.具有生理报警13种</w:t>
            </w:r>
          </w:p>
          <w:p>
            <w:pPr>
              <w:pStyle w:val="null3"/>
              <w:jc w:val="both"/>
            </w:pPr>
            <w:r>
              <w:rPr>
                <w:rFonts w:ascii="仿宋_GB2312" w:hAnsi="仿宋_GB2312" w:cs="仿宋_GB2312" w:eastAsia="仿宋_GB2312"/>
                <w:sz w:val="20"/>
              </w:rPr>
              <w:t>2.技术报警38种</w:t>
            </w:r>
          </w:p>
          <w:p>
            <w:pPr>
              <w:pStyle w:val="null3"/>
              <w:jc w:val="both"/>
            </w:pPr>
            <w:r>
              <w:rPr>
                <w:rFonts w:ascii="仿宋_GB2312" w:hAnsi="仿宋_GB2312" w:cs="仿宋_GB2312" w:eastAsia="仿宋_GB2312"/>
                <w:sz w:val="20"/>
              </w:rPr>
              <w:t>3.自检报警5种</w:t>
            </w:r>
          </w:p>
          <w:p>
            <w:pPr>
              <w:pStyle w:val="null3"/>
              <w:jc w:val="left"/>
            </w:pPr>
            <w:r>
              <w:rPr>
                <w:rFonts w:ascii="仿宋_GB2312" w:hAnsi="仿宋_GB2312" w:cs="仿宋_GB2312" w:eastAsia="仿宋_GB2312"/>
                <w:sz w:val="20"/>
              </w:rPr>
              <w:t>若因故障维修后测量的数据和显示的数据需要达到以下精度：</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354"/>
              <w:gridCol w:w="240"/>
              <w:gridCol w:w="108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参数</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测量范围</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分辨率</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测量精度</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速度</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0-5000 rpm</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 rpm</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流量</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0-9.99lpm</w:t>
                  </w:r>
                </w:p>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0.01</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流量</w:t>
                  </w:r>
                  <w:r>
                    <w:rPr>
                      <w:rFonts w:ascii="仿宋_GB2312" w:hAnsi="仿宋_GB2312" w:cs="仿宋_GB2312" w:eastAsia="仿宋_GB2312"/>
                      <w:sz w:val="20"/>
                    </w:rPr>
                    <w:t>0-2lpm：±0.3lpm偏置漂移；</w:t>
                  </w:r>
                </w:p>
                <w:p>
                  <w:pPr>
                    <w:pStyle w:val="null3"/>
                    <w:jc w:val="left"/>
                  </w:pPr>
                  <w:r>
                    <w:rPr>
                      <w:rFonts w:ascii="仿宋_GB2312" w:hAnsi="仿宋_GB2312" w:cs="仿宋_GB2312" w:eastAsia="仿宋_GB2312"/>
                      <w:sz w:val="20"/>
                    </w:rPr>
                    <w:t>流量</w:t>
                  </w:r>
                  <w:r>
                    <w:rPr>
                      <w:rFonts w:ascii="仿宋_GB2312" w:hAnsi="仿宋_GB2312" w:cs="仿宋_GB2312" w:eastAsia="仿宋_GB2312"/>
                      <w:sz w:val="20"/>
                    </w:rPr>
                    <w:t>&gt;2lpm：测量值的±15%偏置漂移。</w:t>
                  </w:r>
                </w:p>
                <w:p>
                  <w:pPr>
                    <w:pStyle w:val="null3"/>
                    <w:jc w:val="left"/>
                  </w:pPr>
                  <w:r>
                    <w:rPr>
                      <w:rFonts w:ascii="仿宋_GB2312" w:hAnsi="仿宋_GB2312" w:cs="仿宋_GB2312" w:eastAsia="仿宋_GB2312"/>
                      <w:sz w:val="20"/>
                    </w:rPr>
                    <w:t>4天内偏置漂移最大0.05lpm。</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满足采购方服务要求。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满足采购方服务要求。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自合同签订之日起，乙方开具符合甲方要求的全额发票，甲方在60日内付全款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装完成后1周内验收。2、本合同下交付的服务必须等同或优于本项目谈判文件“技术要求”所述的标准。若乙方在其响应文件中承诺的技术标准优于本项目谈判文件“技术要求”所述标准的，按响应文件的承诺执行。3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安装完成后1周内验收。2、本合同下交付的服务必须等同或优于本项目谈判文件“技术要求”所述的标准。若乙方在其响应文件中承诺的技术标准优于本项目谈判文件“技术要求”所述标准的，按响应文件的承诺执行。3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因履行本合同发生的争议，由采购人和中标供应商协商解决，协商不成的，任何一方均可向采购人住所地人民法院提起诉讼，通过诉讼途径解决。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因履行本合同发生的争议，由采购人和中标供应商协商解决，协商不成的，任何一方均可向采购人住所地人民法院提起诉讼，通过诉讼途径解决。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 壹 份、副本 贰 套、电子版壹套（U盘一套标明供应商名称，随正本密封）。若系统电子响应文件与纸质响应文件不一致的，以系统电子响应文件为准。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 壹 份、副本 贰 套、电子版壹套（U盘一套标明供应商名称，随正本密封）。若系统电子响应文件与纸质响应文件不一致的，以系统电子响应文件为准。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供应商需提供原设备厂商针对本项目出具的授权；</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供应商应授权合法的人员参加协商全过程，其中法定代表人直接参加的，须提供法定代表人身份证，并与营业执照上信息一致。法定代表人授权代表参加的，须提供法定代表人授权书及授权代表身份证；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单一授权</w:t>
            </w:r>
          </w:p>
        </w:tc>
        <w:tc>
          <w:tcPr>
            <w:tcW w:type="dxa" w:w="3322"/>
          </w:tcPr>
          <w:p>
            <w:pPr>
              <w:pStyle w:val="null3"/>
            </w:pPr>
            <w:r>
              <w:rPr>
                <w:rFonts w:ascii="仿宋_GB2312" w:hAnsi="仿宋_GB2312" w:cs="仿宋_GB2312" w:eastAsia="仿宋_GB2312"/>
              </w:rPr>
              <w:t>供应商需提供原设备厂商针对本项目出具的授权；</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自合同签订之日起，乙方开具符合甲方要求的全额发票，甲方在60日内付全款。</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自合同签订后12个月或不少于20万曝光次数。</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自合同签订后一个月</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商务偏离表.docx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响应内容满足谈判文件要求，无重大偏离；服务内容明确，满足采购人使用需求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验收合格并经甲方盖章确认，达到付款条件起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整机保修壹年，保修期内2小时响应，24小时到现场服务。</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合同签订后一年。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技术响应性审查1</w:t>
            </w:r>
          </w:p>
        </w:tc>
        <w:tc>
          <w:tcPr>
            <w:tcW w:type="dxa" w:w="3322"/>
          </w:tcPr>
          <w:p>
            <w:pPr>
              <w:pStyle w:val="null3"/>
            </w:pPr>
            <w:r>
              <w:rPr>
                <w:rFonts w:ascii="仿宋_GB2312" w:hAnsi="仿宋_GB2312" w:cs="仿宋_GB2312" w:eastAsia="仿宋_GB2312"/>
              </w:rPr>
              <w:t>响应内容满足谈判文件要求，无重大偏离；服务内容明确，满足采购人使用需求</w:t>
            </w:r>
          </w:p>
        </w:tc>
        <w:tc>
          <w:tcPr>
            <w:tcW w:type="dxa" w:w="1661"/>
          </w:tcPr>
          <w:p>
            <w:pPr>
              <w:pStyle w:val="null3"/>
            </w:pPr>
            <w:r>
              <w:rPr>
                <w:rFonts w:ascii="仿宋_GB2312" w:hAnsi="仿宋_GB2312" w:cs="仿宋_GB2312" w:eastAsia="仿宋_GB2312"/>
              </w:rPr>
              <w:t>规格、技术参数偏离表.docx 技术实施方案及承诺.docx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技术响应性审查2</w:t>
            </w:r>
          </w:p>
        </w:tc>
        <w:tc>
          <w:tcPr>
            <w:tcW w:type="dxa" w:w="3322"/>
          </w:tcPr>
          <w:p>
            <w:pPr>
              <w:pStyle w:val="null3"/>
            </w:pPr>
            <w:r>
              <w:rPr>
                <w:rFonts w:ascii="仿宋_GB2312" w:hAnsi="仿宋_GB2312" w:cs="仿宋_GB2312" w:eastAsia="仿宋_GB2312"/>
              </w:rPr>
              <w:t>谈判文件规定的其他要求</w:t>
            </w:r>
          </w:p>
        </w:tc>
        <w:tc>
          <w:tcPr>
            <w:tcW w:type="dxa" w:w="1661"/>
          </w:tcPr>
          <w:p>
            <w:pPr>
              <w:pStyle w:val="null3"/>
            </w:pPr>
            <w:r>
              <w:rPr>
                <w:rFonts w:ascii="仿宋_GB2312" w:hAnsi="仿宋_GB2312" w:cs="仿宋_GB2312" w:eastAsia="仿宋_GB2312"/>
              </w:rPr>
              <w:t>规格、技术参数偏离表.docx 技术实施方案及承诺.docx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