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版本号：LHZBZC202503320250407001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陕西省“十五五”住房和城乡建设事业高质量发展规划编制项目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LHZBZC2025033</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凌辉建设工程咨询有限公司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凌辉建设工程咨询有限公司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陕西省“十五五”住房和城乡建设事业高质量发展规划编制项目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LHZBZC2025033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陕西省“十五五”住房和城乡建设事业高质量发展规划编制项目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十五五”时期是我国基本实现现代化承上启下的关键时期，《陕西省“十五五”住房和城乡建设事业高质量发展规划》是确定“十五五”期间全省住房城乡建设领域各项工作目标和重点任务的行动纲领，是推动住房城乡建设事业迈入新阶段实现高质量发展的全局性、指导性规划。陕西省住房和城乡建设厅决定购买陕西省“十五五”住房和城乡建设事业高质量发展规划编制及相关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或2024年度具有财务审计资质的单位出具的财务报告（成立时间至磋商时间不足一年的可提供成立后任意时段的财务报表）或磋商前三个月内基本开户银行出具的资信证明或财政部门认可的政府采购专业担保机构出具的投标担保函。</w:t>
      </w:r>
    </w:p>
    <w:p>
      <w:pPr>
        <w:pStyle w:val="null3"/>
      </w:pPr>
      <w:r>
        <w:rPr>
          <w:rFonts w:ascii="仿宋_GB2312" w:hAnsi="仿宋_GB2312" w:cs="仿宋_GB2312" w:eastAsia="仿宋_GB2312"/>
        </w:rPr>
        <w:t>3、税收缴纳证明：提供自2024年12月1日至递交磋商响应文件截止之日内已缴存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自2024年12月1日至递交磋商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5、书面声明：参加政府采购活动前3年内，在经营活动中没有重大违法记录的书面声明。</w:t>
      </w:r>
    </w:p>
    <w:p>
      <w:pPr>
        <w:pStyle w:val="null3"/>
      </w:pPr>
      <w:r>
        <w:rPr>
          <w:rFonts w:ascii="仿宋_GB2312" w:hAnsi="仿宋_GB2312" w:cs="仿宋_GB2312" w:eastAsia="仿宋_GB2312"/>
        </w:rPr>
        <w:t>6、承诺函：具有城乡规划编制甲级企业资质和履行本合同所必需的设备和专业技术能力的承诺;</w:t>
      </w:r>
    </w:p>
    <w:p>
      <w:pPr>
        <w:pStyle w:val="null3"/>
      </w:pPr>
      <w:r>
        <w:rPr>
          <w:rFonts w:ascii="仿宋_GB2312" w:hAnsi="仿宋_GB2312" w:cs="仿宋_GB2312" w:eastAsia="仿宋_GB2312"/>
        </w:rPr>
        <w:t>7、信用记录：供应商在信用中国（www.creditchina.gov.cn）未被列入重大税收违法失信主体、在中国执行信息公开网（http://zxgk.court.gov.cn/）未被列入失信被执行人及在中国政府采购网（www.ccgp.gov.cn）未被列入政府采购严重违法失信行为记录名单。</w:t>
      </w:r>
    </w:p>
    <w:p>
      <w:pPr>
        <w:pStyle w:val="null3"/>
      </w:pPr>
      <w:r>
        <w:rPr>
          <w:rFonts w:ascii="仿宋_GB2312" w:hAnsi="仿宋_GB2312" w:cs="仿宋_GB2312" w:eastAsia="仿宋_GB2312"/>
        </w:rPr>
        <w:t>8、本项目不接受联合体投标，不允许分包：供应商应提供《非联合体不分包投标声明》，视为独立投标，不分包。</w:t>
      </w:r>
    </w:p>
    <w:p>
      <w:pPr>
        <w:pStyle w:val="null3"/>
      </w:pPr>
      <w:r>
        <w:rPr>
          <w:rFonts w:ascii="仿宋_GB2312" w:hAnsi="仿宋_GB2312" w:cs="仿宋_GB2312" w:eastAsia="仿宋_GB2312"/>
        </w:rPr>
        <w:t>9、控股管理关系：提供直接控股和管理关系清单。若与其他供应商存在单位负责人为同一人或者存在直接控股、管理关系的，则投标无效。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10、法定代表人授权书：法定代表人授权委托书：法定代表人参加磋商的，须提供本人身份证复印件(附在资格证明文件中)；法定代表人授权他人参加磋商的，须提供法定代表人授权委托书。磋商文件中凡是需要法定代表人盖章之处，非法人单位的负责人均参照执行。法人的分支机构参与投标时，除提供《法定代表人授权委托书》外，还须同时提供法人给分支机构出具的授权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西安市新城大院省政府大楼9楼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陕西省住房和城乡建设厅机关经办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029-63915857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凌辉建设工程咨询有限公司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西安市未央区太华北路甲字88号大明宫中央广场A座22层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029-81010100-32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发改委《招标代理服务收费管理暂行办法》（计价格[2002]1980号）以及《关于进一步放开建设项目专项业务服务价格的通知》（发改价格[2015]299号）规定以中标（成交）价为依据准标下浮20%计算代理服务费，由成交单位在领取成交通知书时向受托方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凌辉建设工程咨询有限公司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凌辉建设工程咨询有限公司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凌辉建设工程咨询有限公司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联系人：庞婷</w:t>
      </w:r>
    </w:p>
    <w:p>
      <w:pPr>
        <w:pStyle w:val="null3"/>
      </w:pPr>
      <w:r>
        <w:rPr>
          <w:rFonts w:ascii="仿宋_GB2312" w:hAnsi="仿宋_GB2312" w:cs="仿宋_GB2312" w:eastAsia="仿宋_GB2312"/>
        </w:rPr>
        <w:t>联系电话：029-81010100-32</w:t>
      </w:r>
    </w:p>
    <w:p>
      <w:pPr>
        <w:pStyle w:val="null3"/>
      </w:pPr>
      <w:r>
        <w:rPr>
          <w:rFonts w:ascii="仿宋_GB2312" w:hAnsi="仿宋_GB2312" w:cs="仿宋_GB2312" w:eastAsia="仿宋_GB2312"/>
        </w:rPr>
        <w:t>地址：西安市未央区太华北路甲字88号大明宫中央广场A座22层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十五五”时期是我国基本实现现代化承上启下的关键时期，《陕西省“十五五”住房和城乡建设事业高质量发展规划》是确定“十五五”期间全省住房城乡建设领域各项工作目标和重点任务的行动纲领，是推动住房城乡建设事业迈入新阶段实现高质量发展的全局性、指导性规划。陕西省住房和城乡建设厅决定购买陕西省“十五五”住房和城乡建设事业高质量发展规划编制及相关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陕西省“十五五”住房和城乡建设事业高质量发展规划编制项目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标的名称：陕西省“十五五”住房和城乡建设事业高质量发展规划编制项目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sz w:val="20"/>
              </w:rPr>
              <w:t>一、项目概况</w:t>
            </w:r>
          </w:p>
          <w:p>
            <w:pPr>
              <w:pStyle w:val="null3"/>
              <w:ind w:firstLine="400"/>
              <w:jc w:val="both"/>
            </w:pPr>
            <w:r>
              <w:rPr>
                <w:rFonts w:ascii="仿宋_GB2312" w:hAnsi="仿宋_GB2312" w:cs="仿宋_GB2312" w:eastAsia="仿宋_GB2312"/>
                <w:sz w:val="21"/>
              </w:rPr>
              <w:t>“十五五”时期是我国基本实现现代化承上启下的关键时期，《陕西省“十五五”住房和城乡建设事业高质量发展规划》是确定“十五五”期间全省住房城乡建设领域各项工作目标和重点任务的行动纲领，是推动住房城乡建设事业迈入新阶段实现高质量发展的全局性、指导性规划。陕西省住房和城乡建设厅决定购买陕西省“十五五”住房和城乡建设事业高质量发展规划编制及相关服务。</w:t>
            </w:r>
            <w:r>
              <w:rPr>
                <w:rFonts w:ascii="仿宋_GB2312" w:hAnsi="仿宋_GB2312" w:cs="仿宋_GB2312" w:eastAsia="仿宋_GB2312"/>
                <w:sz w:val="20"/>
              </w:rPr>
              <w:t>本项目计划投资额为60.00万元。</w:t>
            </w:r>
          </w:p>
          <w:p>
            <w:pPr>
              <w:pStyle w:val="null3"/>
              <w:jc w:val="both"/>
            </w:pPr>
            <w:r>
              <w:rPr>
                <w:rFonts w:ascii="仿宋_GB2312" w:hAnsi="仿宋_GB2312" w:cs="仿宋_GB2312" w:eastAsia="仿宋_GB2312"/>
                <w:sz w:val="20"/>
              </w:rPr>
              <w:t>二、服务内容</w:t>
            </w:r>
          </w:p>
          <w:p>
            <w:pPr>
              <w:pStyle w:val="null3"/>
              <w:ind w:firstLine="400"/>
              <w:jc w:val="both"/>
            </w:pPr>
            <w:r>
              <w:rPr>
                <w:rFonts w:ascii="仿宋_GB2312" w:hAnsi="仿宋_GB2312" w:cs="仿宋_GB2312" w:eastAsia="仿宋_GB2312"/>
                <w:sz w:val="20"/>
              </w:rPr>
              <w:t>全面总结</w:t>
            </w:r>
            <w:r>
              <w:rPr>
                <w:rFonts w:ascii="仿宋_GB2312" w:hAnsi="仿宋_GB2312" w:cs="仿宋_GB2312" w:eastAsia="仿宋_GB2312"/>
                <w:sz w:val="20"/>
              </w:rPr>
              <w:t>“十四五”全省住建领域发展成效，深入剖析阶段性的深层次矛盾和问题，客观审视“十五五”发展环境，锚定全省住房城乡建设领域高质量发展主线，科学合理确定全省“十五五”住房城乡建设事业发展目标，围绕住建领域重点板块内容和工作，提出“十五五”时期各项重大任务、重大工程和重大改革等务实举措</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三、服务要求</w:t>
            </w:r>
          </w:p>
          <w:p>
            <w:pPr>
              <w:pStyle w:val="null3"/>
              <w:ind w:firstLine="400"/>
              <w:jc w:val="both"/>
            </w:pPr>
            <w:r>
              <w:rPr>
                <w:rFonts w:ascii="仿宋_GB2312" w:hAnsi="仿宋_GB2312" w:cs="仿宋_GB2312" w:eastAsia="仿宋_GB2312"/>
                <w:sz w:val="20"/>
              </w:rPr>
              <w:t>乙方能够熟悉掌握全省住房城乡建设领域的现状情况及相关统计资料，在住房城乡建设方面具有丰富的工作基础及项目经验，承担过省市县城乡规划方面的项目编制服务</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规划成果包括但不限于现状调研报告、规划成果（文本、说明书、图纸等）、相关案例汇编等。项目完成后，乙方需配合甲方完成项目评审、报批、宣贯及后期服务等相关工作。</w:t>
            </w:r>
          </w:p>
          <w:p>
            <w:pPr>
              <w:pStyle w:val="null3"/>
              <w:jc w:val="both"/>
            </w:pPr>
            <w:r>
              <w:rPr>
                <w:rFonts w:ascii="仿宋_GB2312" w:hAnsi="仿宋_GB2312" w:cs="仿宋_GB2312" w:eastAsia="仿宋_GB2312"/>
                <w:sz w:val="20"/>
              </w:rPr>
              <w:t>乙方所提供的成果或服务应符合相关法律法规及行业的标准规范。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合同签订后300个日历天完成规划编制服务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西安市新城大院省政府大楼9层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按招标文件、投标文件、合同等指标进行验收，各指标均应符合验收标准及要求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合同签订后，达到付款条件起</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提交最终成果文件且甲方审核通过后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合同发生纠纷时，双方应协商解决，协商不成，可以向甲方所在地人民法院起诉。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磋商响应文件。同时，中标供应商在领取中标通知书时需提交纸质版磋商响应文件正本壹份、副本贰套。纸质版文件内容应于电子版文件内容保持一致。地点：西安市未央区太华北路甲字88号大明宫中央广场A座22层代理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度具有财务审计资质的单位出具的财务报告（成立时间至磋商时间不足一年的可提供成立后任意时段的财务报表）或磋商前三个月内基本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落实政府采购政策资格审查</w:t>
            </w:r>
          </w:p>
        </w:tc>
        <w:tc>
          <w:tcPr>
            <w:tcW w:type="dxa" w:w="3322"/>
          </w:tcPr>
          <w:p>
            <w:pPr>
              <w:pStyle w:val="null3"/>
            </w:pPr>
            <w:r>
              <w:rPr>
                <w:rFonts w:ascii="仿宋_GB2312" w:hAnsi="仿宋_GB2312" w:cs="仿宋_GB2312" w:eastAsia="仿宋_GB2312"/>
              </w:rPr>
              <w:t>本项目为非专门面向中小企业采购的采购项目，符合1)《政府采购促进中小企业发展管理办法》的通知(财库[2020]46号)；2)财政部司法部关于政府采购支持监狱企业发展有关问题的通知 (财 库〔2014〕68号)；7)三部门联合发布关于促进残疾人就业政府采购政策的通知 (财库〔2017〕141号) ；条件的供应商需在项目电子化交易系统中按要求上传相应证明文件并进行电子签章。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具有财务审计资质的单位出具的财务报告（成立时间至磋商时间不足一年的可提供成立后任意时段的财务报表）或磋商前三个月内基本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提供自2024年12月1日至递交磋商响应文件截止之日内已缴存任意一个月的依法缴纳税收的相关凭据，凭据应有税务机关或代收机关的公章或业务专用章。依法免税或无须缴纳税收的供应商，应提供相应证明文件。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提供自2024年12月1日至递交磋商响应文件截止之日前一年内任意一个月的社会保障资金缴存单据或社保机构开具的社会保险参保缴费情况证明。依法不需要缴纳社会保障资金的供应商应提供相关文件证明。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具有城乡规划编制甲级企业资质和履行本合同所必需的设备和专业技术能力的承诺;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信用中国（www.creditchina.gov.cn）未被列入重大税收违法失信主体、在中国执行信息公开网（http://zxgk.court.gov.cn/）未被列入失信被执行人及在中国政府采购网（www.ccgp.gov.cn）未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供应商应提供《非联合体不分包投标声明》，视为独立投标，不分包。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法定代表人参加磋商的，须提供本人身份证复印件(附在资格证明文件中)；法定代表人授权他人参加磋商的，须提供法定代表人授权委托书。磋商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满足本磋商文件中的实质性条款要求：服务期限、服务地点、考核（验收）标准和方法、支付方式、支付约定</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投标有效期满足的</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1.项目负责人具有正高级技术职称或同等专业水平证书等证明材料得2分； 2.项目负责人具有注册城乡规划师资格证的，得1分； 3.拟派本项目技术团队成员中（不含项目负责人)具有城乡规划类相关专业高级或以上职称的，每提供一个得1.5分，共4.5分；具有城乡规划类相关专业中级职称的，每提供一个得0.5分，共2.5分。 注：供应商未提供或提供无效相关内容不得分。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整体方案：根据供应商方案的完整性、严谨性、合理性、规范性及支撑依据等方面进行综合比较：思路清晰、合理、可行，对项目实施具有指导作用计15-25分；思路较清晰、合理、可行，对项目实施具有较好的指导作用计1-15分；思路不清晰，可行性不强及未提供不计分； 2.实施进度：根据方案的工作流程、进度计划、各阶段工作成果的完成时间计划的合理性、科学性综合比较：对本次实施进度安排合理、详细具体计4-7分；对本次实施进度安排较合理、较详细计1-4分；对本次实施进度安排不合理、不详细及未提供的不计分； 3.成果质量：针对本项目采购需求重点、难点进行论述以及成果文件质量标准综合比较：方案详细、合理计11-20分；方案较详细、较合理计1-10分；方案不详细、不合理及未提供不计分； 4.保证措施：根据本项目的工期和成果要求，编制保障措施及预案：措施预案合理，可行性强计5-8分；措施预案较合理，可行性较强计1-5分；措施预案不合理及未提供不计分。 注：供应商未提供相关内容不得分。</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供应商需提供2020年1月以来独立承担过类似项目业绩，每提供1项得3分，最高得15分（类似业绩是指:规划编制类或规划编制评估类）。 评审依据：以供应商提供的中标通知书或合同或同类型范围项目评估报告复印件加盖鲜章提供为准），未提供或不清晰导致无法识别的不予认可。</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合理化建议及服务承</w:t>
            </w:r>
          </w:p>
        </w:tc>
        <w:tc>
          <w:tcPr>
            <w:tcW w:type="dxa" w:w="2492"/>
          </w:tcPr>
          <w:p>
            <w:pPr>
              <w:pStyle w:val="null3"/>
            </w:pPr>
            <w:r>
              <w:rPr>
                <w:rFonts w:ascii="仿宋_GB2312" w:hAnsi="仿宋_GB2312" w:cs="仿宋_GB2312" w:eastAsia="仿宋_GB2312"/>
              </w:rPr>
              <w:t>根据供应商对本项目提出合理化建议、服务承诺、增值服务等，从合理性、全面性、经济性、可行性等、综合比较计3-5分。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磋商报价得分=（磋商基准价/最后磋商报价）×价格权值×100%。备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