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版本号：SDZC2025-05220250415002</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（工程类）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“两房”建设项目配套柴油发电机房设备建设安装工程项目(二次)</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SDZC2025-052</w:t>
      </w:r>
      <w:r>
        <w:br/>
      </w:r>
      <w:r>
        <w:br/>
      </w:r>
      <w:r>
        <w:br/>
      </w:r>
    </w:p>
    <w:p>
      <w:pPr>
        <w:pStyle w:val="null3"/>
        <w:jc w:val="center"/>
        <w:outlineLvl w:val="2"/>
      </w:pPr>
      <w:r>
        <w:rPr>
          <w:rFonts w:ascii="仿宋_GB2312" w:hAnsi="仿宋_GB2312" w:cs="仿宋_GB2312" w:eastAsia="仿宋_GB2312"/>
          <w:sz w:val="28"/>
          <w:b/>
        </w:rPr>
        <w:t>安康铁路运输检察院</w:t>
      </w:r>
    </w:p>
    <w:p>
      <w:pPr>
        <w:pStyle w:val="null3"/>
        <w:jc w:val="center"/>
        <w:outlineLvl w:val="2"/>
      </w:pPr>
      <w:r>
        <w:rPr>
          <w:rFonts w:ascii="仿宋_GB2312" w:hAnsi="仿宋_GB2312" w:cs="仿宋_GB2312" w:eastAsia="仿宋_GB2312"/>
          <w:sz w:val="28"/>
          <w:b/>
        </w:rPr>
        <w:t>陕西上德招标有限公司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2025年04月09日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陕西上德招标有限公司</w:t>
      </w:r>
      <w:r>
        <w:rPr>
          <w:rFonts w:ascii="仿宋_GB2312" w:hAnsi="仿宋_GB2312" w:cs="仿宋_GB2312" w:eastAsia="仿宋_GB2312"/>
        </w:rPr>
        <w:t>（以下简称“代理机构”）受</w:t>
      </w:r>
      <w:r>
        <w:rPr>
          <w:rFonts w:ascii="仿宋_GB2312" w:hAnsi="仿宋_GB2312" w:cs="仿宋_GB2312" w:eastAsia="仿宋_GB2312"/>
        </w:rPr>
        <w:t>安康铁路运输检察院</w:t>
      </w:r>
      <w:r>
        <w:rPr>
          <w:rFonts w:ascii="仿宋_GB2312" w:hAnsi="仿宋_GB2312" w:cs="仿宋_GB2312" w:eastAsia="仿宋_GB2312"/>
        </w:rPr>
        <w:t>委托，拟对</w:t>
      </w:r>
      <w:r>
        <w:rPr>
          <w:rFonts w:ascii="仿宋_GB2312" w:hAnsi="仿宋_GB2312" w:cs="仿宋_GB2312" w:eastAsia="仿宋_GB2312"/>
        </w:rPr>
        <w:t>“两房”建设项目配套柴油发电机房设备建设安装工程项目(二次)</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SDZC2025-052</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“两房”建设项目配套柴油发电机房设备建设安装工程项目(二次)</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“两房”建设项目配套柴油发电机房设备建设安装工程</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采购包1（“两房”建设项目配套柴油发电机房设备建设安装工程）：属于专门面向中小企业采购。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1、提供供应商合法注册的法人或者其他组织的营业执照等证明文件、自然人的身份证明：提供供应商合法注册的法人或者其他组织的营业执照等证明文件、自然人的身份证明。</w:t>
      </w:r>
    </w:p>
    <w:p>
      <w:pPr>
        <w:pStyle w:val="null3"/>
      </w:pPr>
      <w:r>
        <w:rPr>
          <w:rFonts w:ascii="仿宋_GB2312" w:hAnsi="仿宋_GB2312" w:cs="仿宋_GB2312" w:eastAsia="仿宋_GB2312"/>
        </w:rPr>
        <w:t>2、财务状况报告：财务状况报告：提供具有财务审计资质单位出具的合法有效的2023年度或2024年度财务报告（成立时间至开标时间不足一年的可提供成立后任意时段的资产负债表）或开标前六个月内其基本账户银行出具的资信证明或政府采购信用担保机构出具的担保函。</w:t>
      </w:r>
    </w:p>
    <w:p>
      <w:pPr>
        <w:pStyle w:val="null3"/>
      </w:pPr>
      <w:r>
        <w:rPr>
          <w:rFonts w:ascii="仿宋_GB2312" w:hAnsi="仿宋_GB2312" w:cs="仿宋_GB2312" w:eastAsia="仿宋_GB2312"/>
        </w:rPr>
        <w:t>3、税收缴纳证明：税收缴纳证明：提供截止至开标时间前一年内任意一个月的缴纳凭据（增值税、企业所得税至少提供一种，依法免税的投标人应提供相关文件证明）。</w:t>
      </w:r>
    </w:p>
    <w:p>
      <w:pPr>
        <w:pStyle w:val="null3"/>
      </w:pPr>
      <w:r>
        <w:rPr>
          <w:rFonts w:ascii="仿宋_GB2312" w:hAnsi="仿宋_GB2312" w:cs="仿宋_GB2312" w:eastAsia="仿宋_GB2312"/>
        </w:rPr>
        <w:t>4、社会保障资金缴纳证明：社会保障资金缴纳证明：提供截止至开标时间前六个月内任意一个月的社保缴纳凭据或社保机构开具的社会保险参保缴纳情况证明（依法不需要缴纳社会保障资金的投标人应提供相关证明）。</w:t>
      </w:r>
    </w:p>
    <w:p>
      <w:pPr>
        <w:pStyle w:val="null3"/>
      </w:pPr>
      <w:r>
        <w:rPr>
          <w:rFonts w:ascii="仿宋_GB2312" w:hAnsi="仿宋_GB2312" w:cs="仿宋_GB2312" w:eastAsia="仿宋_GB2312"/>
        </w:rPr>
        <w:t>5、提供具有履行本合同所必需的设备和专业技术能力的说明及承诺：提供具有履行本合同所必需的设备和专业技术能力的说明及承诺（提供书面说明及承诺，加盖投标人公章）。</w:t>
      </w:r>
    </w:p>
    <w:p>
      <w:pPr>
        <w:pStyle w:val="null3"/>
      </w:pPr>
      <w:r>
        <w:rPr>
          <w:rFonts w:ascii="仿宋_GB2312" w:hAnsi="仿宋_GB2312" w:cs="仿宋_GB2312" w:eastAsia="仿宋_GB2312"/>
        </w:rPr>
        <w:t>6、提供参加政府采购活动前三年内在经营活动中没有重大违法记录的书面声明：提供参加政府采购活动前三年内在经营活动中没有重大违法记录的书面声明。（提供书面声明，加盖投标人公章）。</w:t>
      </w:r>
    </w:p>
    <w:p>
      <w:pPr>
        <w:pStyle w:val="null3"/>
      </w:pPr>
      <w:r>
        <w:rPr>
          <w:rFonts w:ascii="仿宋_GB2312" w:hAnsi="仿宋_GB2312" w:cs="仿宋_GB2312" w:eastAsia="仿宋_GB2312"/>
        </w:rPr>
        <w:t>7、法定代表人授权委托书：法定代表人授权委托书（附法定代表人身份证复印件及被授权人身份证复印件）；法定代表人直接参加投标提供法定代表人资格证明书（附法定代表人身份证复印件）；采购文件凡是法定代表人之处，非法人单位的负责人均参照执行（式样见投标文件格式）。</w:t>
      </w:r>
    </w:p>
    <w:p>
      <w:pPr>
        <w:pStyle w:val="null3"/>
      </w:pPr>
      <w:r>
        <w:rPr>
          <w:rFonts w:ascii="仿宋_GB2312" w:hAnsi="仿宋_GB2312" w:cs="仿宋_GB2312" w:eastAsia="仿宋_GB2312"/>
        </w:rPr>
        <w:t>8、投标保证金交纳凭证或担保函：投标保证金交纳凭证或担保函；（投标保证交纳金凭证为银行凭证及基本账户证明资料，担保函为财政部门认可的政府采购信用担保机构出具）。</w:t>
      </w:r>
    </w:p>
    <w:p>
      <w:pPr>
        <w:pStyle w:val="null3"/>
      </w:pPr>
      <w:r>
        <w:rPr>
          <w:rFonts w:ascii="仿宋_GB2312" w:hAnsi="仿宋_GB2312" w:cs="仿宋_GB2312" w:eastAsia="仿宋_GB2312"/>
        </w:rPr>
        <w:t>9、信用查询：信用查询：不得为“信用中国”网站(http://www.creditchina.gov.cn)列入“失信被执行人（页面跳转至“中国执行信息公开网”http://zxgk.court.gov.cn/shixin/）、重大税收违法失信主体、政府采购严重违法失信行为记录名单”的投标人；不得为中国政府采购网(http://www.ccgp.gov.cn)“政府采购严重违法失信行为记录名单”中的投标人（根据财库【2019】38号文规定，此项在投标截止日当天在“信用中国”网站和中国政府采购网站进行查询，截图留档；如网站无投标人信息的，投标人须提供相关证明资料或书面声明）。</w:t>
      </w:r>
    </w:p>
    <w:p>
      <w:pPr>
        <w:pStyle w:val="null3"/>
      </w:pPr>
      <w:r>
        <w:rPr>
          <w:rFonts w:ascii="仿宋_GB2312" w:hAnsi="仿宋_GB2312" w:cs="仿宋_GB2312" w:eastAsia="仿宋_GB2312"/>
        </w:rPr>
        <w:t>10、控股关系查询或声明：控股关系查询或声明：单位负责人为同一人或者存在直接控股、管理关系的不同投标人，不得参加同一合同项下的政府采购活动（根据财库【2019】38号文规定，此项在投标截止日当天在“国家企业信用信息公示系统”进行查询，截图留档；如网站无投标人信息的，投标人须提供相关证明资料或书面声明）。</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注：获取的磋商文件主体格式包括pdf、word两种格式版本，其中以pdf格式为准。</w:t>
      </w:r>
    </w:p>
    <w:p>
      <w:pPr>
        <w:pStyle w:val="null3"/>
        <w:outlineLvl w:val="2"/>
      </w:pPr>
      <w:r>
        <w:rPr>
          <w:rFonts w:ascii="仿宋_GB2312" w:hAnsi="仿宋_GB2312" w:cs="仿宋_GB2312" w:eastAsia="仿宋_GB2312"/>
          <w:sz w:val="28"/>
          <w:b/>
        </w:rPr>
        <w:t>八、提交首次响应文件截止时间及开启时间、地点、方式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安康铁路运输检察院</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陕西省安康市汉滨区江北大道80号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725000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曾进</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0915-2222758</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陕西上德招标有限公司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西安市经开区凤城八路正尚国际金融广场A座7层703（张家堡转盘东南角）</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710018</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赵倩茹（09号工位）、杨宗峰</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029-86673953/86518381/89299829/89293231转8009</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采购包1：288,500.00元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产品属于节能产品政府采购品目清单中应强制采购的产品范围，供应商应当按照第六章强制、优先采购产品承诺函格式进行承诺，否则作无效响应处理。</w:t>
            </w:r>
          </w:p>
          <w:p>
            <w:pPr>
              <w:pStyle w:val="null3"/>
            </w:pPr>
            <w:r>
              <w:rPr>
                <w:rFonts w:ascii="仿宋_GB2312" w:hAnsi="仿宋_GB2312" w:cs="仿宋_GB2312" w:eastAsia="仿宋_GB2312"/>
              </w:rPr>
              <w:t>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产品属于环境标志产品政府采购品目清单中应优先采购的产品范围，供应商可根据第六章强制、优先采购产品承诺函格式要求承诺提供经认证的节能、环境标志产品。</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 （实质性要求）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采购包1保证金金额：5,500.00元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开户名称：陕西上德招标有限公司</w:t>
            </w:r>
          </w:p>
          <w:p>
            <w:pPr>
              <w:pStyle w:val="null3"/>
            </w:pPr>
            <w:r>
              <w:rPr>
                <w:rFonts w:ascii="仿宋_GB2312" w:hAnsi="仿宋_GB2312" w:cs="仿宋_GB2312" w:eastAsia="仿宋_GB2312"/>
              </w:rPr>
              <w:t>开户银行：西安银行股份有限公司文景路支行</w:t>
            </w:r>
          </w:p>
          <w:p>
            <w:pPr>
              <w:pStyle w:val="null3"/>
            </w:pPr>
            <w:r>
              <w:rPr>
                <w:rFonts w:ascii="仿宋_GB2312" w:hAnsi="仿宋_GB2312" w:cs="仿宋_GB2312" w:eastAsia="仿宋_GB2312"/>
              </w:rPr>
              <w:t>银行账号：707011510000013522</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质量保证金</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从提交首次响应文件截止之日起，不少于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代理服务费收费标准：定额收取：6000.00元（陆仟元整）</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20</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安康铁路运输检察院</w:t>
      </w:r>
      <w:r>
        <w:rPr>
          <w:rFonts w:ascii="仿宋_GB2312" w:hAnsi="仿宋_GB2312" w:cs="仿宋_GB2312" w:eastAsia="仿宋_GB2312"/>
        </w:rPr>
        <w:t>和</w:t>
      </w:r>
      <w:r>
        <w:rPr>
          <w:rFonts w:ascii="仿宋_GB2312" w:hAnsi="仿宋_GB2312" w:cs="仿宋_GB2312" w:eastAsia="仿宋_GB2312"/>
        </w:rPr>
        <w:t>陕西上德招标有限公司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安康铁路运输检察院</w:t>
      </w:r>
      <w:r>
        <w:rPr>
          <w:rFonts w:ascii="仿宋_GB2312" w:hAnsi="仿宋_GB2312" w:cs="仿宋_GB2312" w:eastAsia="仿宋_GB2312"/>
        </w:rPr>
        <w:t>负责解释。除上述磋商文件内容，其他内容由</w:t>
      </w:r>
      <w:r>
        <w:rPr>
          <w:rFonts w:ascii="仿宋_GB2312" w:hAnsi="仿宋_GB2312" w:cs="仿宋_GB2312" w:eastAsia="仿宋_GB2312"/>
        </w:rPr>
        <w:t>陕西上德招标有限公司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安康铁路运输检察院</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陕西上德招标有限公司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本次采购活动的基本依据，也是供应商准备响应文件、参加采购活动的依据。磋商文件包括资格预审文件、磋商邀请、采购方式、采购预算、采购需求、政府采购政策要求、评审程序、评审方法、评审标准、价格构成或者报价要求、响应文件编制要求、磋商过程中可能实质性变动内容、响应文件提交的截止时间、开启时间及地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因专利权、商标权或其它知识产权而引起法律和经济纠纷，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 xml:space="preserve"> 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一、供应商应认真核实本项目的工程量清单。</w:t>
      </w:r>
    </w:p>
    <w:p>
      <w:pPr>
        <w:pStyle w:val="null3"/>
        <w:ind w:firstLine="480"/>
      </w:pPr>
      <w:r>
        <w:rPr>
          <w:rFonts w:ascii="仿宋_GB2312" w:hAnsi="仿宋_GB2312" w:cs="仿宋_GB2312" w:eastAsia="仿宋_GB2312"/>
        </w:rPr>
        <w:t>二、供应商的报价是其响应本项目要求的全部工作内容的价格体现，包括供应商完成本项目所需的一切费用。</w:t>
      </w:r>
    </w:p>
    <w:p>
      <w:pPr>
        <w:pStyle w:val="null3"/>
        <w:ind w:firstLine="480"/>
      </w:pPr>
      <w:r>
        <w:rPr>
          <w:rFonts w:ascii="仿宋_GB2312" w:hAnsi="仿宋_GB2312" w:cs="仿宋_GB2312" w:eastAsia="仿宋_GB2312"/>
        </w:rPr>
        <w:t>三、本项目合同价格形式为如下：</w:t>
      </w:r>
    </w:p>
    <w:p>
      <w:pPr>
        <w:pStyle w:val="null3"/>
      </w:pPr>
      <w:r>
        <w:rPr>
          <w:rFonts w:ascii="仿宋_GB2312" w:hAnsi="仿宋_GB2312" w:cs="仿宋_GB2312" w:eastAsia="仿宋_GB2312"/>
        </w:rPr>
        <w:t>采购包1：项目包干价</w:t>
      </w:r>
    </w:p>
    <w:p>
      <w:pPr>
        <w:pStyle w:val="null3"/>
      </w:pPr>
      <w:r>
        <w:rPr>
          <w:rFonts w:ascii="仿宋_GB2312" w:hAnsi="仿宋_GB2312" w:cs="仿宋_GB2312" w:eastAsia="仿宋_GB2312"/>
        </w:rPr>
        <w:t>项目包干价。适用于设计施工图纸详尽完善（即工程量固定），投资规模较小、施工工期较短且施工内容相对简单的工程项目。</w:t>
      </w:r>
    </w:p>
    <w:p>
      <w:pPr>
        <w:pStyle w:val="null3"/>
      </w:pPr>
      <w:r>
        <w:rPr>
          <w:rFonts w:ascii="仿宋_GB2312" w:hAnsi="仿宋_GB2312" w:cs="仿宋_GB2312" w:eastAsia="仿宋_GB2312"/>
        </w:rPr>
        <w:t>参加采购活动的供应商应当全部响应采购人提供的工程量清单，供应商直接给出其完成本项目全部工作内容所需的总价，不再提供已标价工程量清单。</w:t>
      </w:r>
    </w:p>
    <w:p>
      <w:pPr>
        <w:pStyle w:val="null3"/>
      </w:pPr>
      <w:r>
        <w:rPr>
          <w:rFonts w:ascii="仿宋_GB2312" w:hAnsi="仿宋_GB2312" w:cs="仿宋_GB2312" w:eastAsia="仿宋_GB2312"/>
        </w:rPr>
        <w:t>说明：采购人选择采用此种报价方式的，应当科学测算项目工程量，避免工程量调整造成履约纠纷。</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三、供应商完成响应文件编制后，应按照磋商文件第1章明确的签章要求，使用互认的证书及签章对响应文件进行电子签章和加密。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采购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 xml:space="preserve"> 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 xml:space="preserve"> 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1.验收流程 1.1初验：主要设备及材料到场验收，成交人应向采购人提交设备厂家确认的产品彩页、检测报告、产品认证、官网截图等证明材料。 1.2终验：项目在竣工后，成交人应向采购人提交工程竣工报告，申请工程竣工验收，并将施工过程中相关资料提交采购人。 1.2.1采购人收到工程竣工报告后，对符合竣工验收要求的工程，组织相关单位和其他有关方面的专家组成验收组共同验收，签署的工程竣工验收意见。 1.3验收合格后，采购人出具验收报告，并在建设行政主管部门备案。 1.4验收不合格的成交单位，必须在接到通知后7个日历日内确保设备及工程通过验收。如接到通知后7个日历日内验收仍不合格，采购人可提出索赔或取消其施工合同。 2.验收标准按照国家、行业有关规范和要求执行。 3.成交人承诺完全达到国家有关部门验收标准，并全部通过验收为交付使用的基本条件，验收过程中的一切费用由成交供应商承担。 4.验收依据 4.1合同文本及合同补充文件（条款）。 4.2磋商文件。 4.3磋商响应文件。 4.4工程量清单。 4.5建筑工程施工质量验收统一标准。</w:t>
      </w:r>
    </w:p>
    <w:p>
      <w:pPr>
        <w:pStyle w:val="null3"/>
        <w:ind w:firstLine="480"/>
      </w:pPr>
      <w:r>
        <w:rPr>
          <w:rFonts w:ascii="仿宋_GB2312" w:hAnsi="仿宋_GB2312" w:cs="仿宋_GB2312" w:eastAsia="仿宋_GB2312"/>
        </w:rPr>
        <w:t xml:space="preserve"> 二、交付竣工验收的工程，必须符合规定的工程质量标准，有完整的工程技术经济资料和经签署的工程保修书，并具备国家规定的其他竣工条件。 工程竣工经验收合格后，方可交付使用；未经验收或者验收不合格的，不得交付使用</w:t>
      </w:r>
    </w:p>
    <w:p>
      <w:pPr>
        <w:pStyle w:val="null3"/>
        <w:ind w:firstLine="480"/>
      </w:pPr>
      <w:r>
        <w:rPr>
          <w:rFonts w:ascii="仿宋_GB2312" w:hAnsi="仿宋_GB2312" w:cs="仿宋_GB2312" w:eastAsia="仿宋_GB2312"/>
        </w:rPr>
        <w:t>三、验收结果合格的，采购人应向成交供应商出具履约验收报告，成交供应商凭验收报告办理相关手续。</w:t>
      </w:r>
    </w:p>
    <w:p>
      <w:pPr>
        <w:pStyle w:val="null3"/>
        <w:ind w:firstLine="480"/>
      </w:pPr>
      <w:r>
        <w:rPr>
          <w:rFonts w:ascii="仿宋_GB2312" w:hAnsi="仿宋_GB2312" w:cs="仿宋_GB2312" w:eastAsia="仿宋_GB2312"/>
        </w:rPr>
        <w:t xml:space="preserve"> 四、验收结果不合格的，履约保证金将不予退还，给采购人造成的损失超过履约保证金数额的，还应当对超过部分予以赔偿；没有提交履约保证金的，应当对采购人的损失承担赔偿责任。</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采购人将按照政府采购合同规定，及时向成交供应商支付采购资金。</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陕西上德招标有限公司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陕西上德招标有限公司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陕西上德招标有限公司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采购文件、采购过程、成交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联系人：赵倩茹（09工位）、杨宗峰</w:t>
      </w:r>
    </w:p>
    <w:p>
      <w:pPr>
        <w:pStyle w:val="null3"/>
      </w:pPr>
      <w:r>
        <w:rPr>
          <w:rFonts w:ascii="仿宋_GB2312" w:hAnsi="仿宋_GB2312" w:cs="仿宋_GB2312" w:eastAsia="仿宋_GB2312"/>
        </w:rPr>
        <w:t>联系电话：029-86673953/86518381/89299829/89293231转8009</w:t>
      </w:r>
    </w:p>
    <w:p>
      <w:pPr>
        <w:pStyle w:val="null3"/>
      </w:pPr>
      <w:r>
        <w:rPr>
          <w:rFonts w:ascii="仿宋_GB2312" w:hAnsi="仿宋_GB2312" w:cs="仿宋_GB2312" w:eastAsia="仿宋_GB2312"/>
        </w:rPr>
        <w:t>地址：西安市经开区凤城八路正尚国际金融广场A座7层703（张家堡转盘东南角）</w:t>
      </w:r>
    </w:p>
    <w:p>
      <w:pPr>
        <w:pStyle w:val="null3"/>
      </w:pPr>
      <w:r>
        <w:rPr>
          <w:rFonts w:ascii="仿宋_GB2312" w:hAnsi="仿宋_GB2312" w:cs="仿宋_GB2312" w:eastAsia="仿宋_GB2312"/>
        </w:rPr>
        <w:t>邮编：710018</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288,500.00</w:t>
      </w:r>
    </w:p>
    <w:p>
      <w:pPr>
        <w:pStyle w:val="null3"/>
      </w:pPr>
      <w:r>
        <w:rPr>
          <w:rFonts w:ascii="仿宋_GB2312" w:hAnsi="仿宋_GB2312" w:cs="仿宋_GB2312" w:eastAsia="仿宋_GB2312"/>
        </w:rPr>
        <w:t>采购包最高限价（元）: 288,500.00</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rFonts w:ascii="仿宋_GB2312" w:hAnsi="仿宋_GB2312" w:cs="仿宋_GB2312" w:eastAsia="仿宋_GB2312"/>
              </w:rPr>
              <w:t>序号</w:t>
            </w:r>
          </w:p>
        </w:tc>
        <w:tc>
          <w:tcPr>
            <w:tcW w:type="dxa" w:w="1384"/>
          </w:tcPr>
          <w:p>
            <w:pPr>
              <w:pStyle w:val="null3"/>
            </w:pPr>
            <w:r>
              <w:rPr>
                <w:rFonts w:ascii="仿宋_GB2312" w:hAnsi="仿宋_GB2312" w:cs="仿宋_GB2312" w:eastAsia="仿宋_GB2312"/>
              </w:rPr>
              <w:t>标的名称</w:t>
            </w:r>
          </w:p>
        </w:tc>
        <w:tc>
          <w:tcPr>
            <w:tcW w:type="dxa" w:w="1384"/>
          </w:tcPr>
          <w:p>
            <w:pPr>
              <w:pStyle w:val="null3"/>
            </w:pPr>
            <w:r>
              <w:rPr>
                <w:rFonts w:ascii="仿宋_GB2312" w:hAnsi="仿宋_GB2312" w:cs="仿宋_GB2312" w:eastAsia="仿宋_GB2312"/>
              </w:rPr>
              <w:t>数量</w:t>
            </w:r>
          </w:p>
        </w:tc>
        <w:tc>
          <w:tcPr>
            <w:tcW w:type="dxa" w:w="1384"/>
          </w:tcPr>
          <w:p>
            <w:pPr>
              <w:pStyle w:val="null3"/>
            </w:pPr>
            <w:r>
              <w:rPr>
                <w:rFonts w:ascii="仿宋_GB2312" w:hAnsi="仿宋_GB2312" w:cs="仿宋_GB2312" w:eastAsia="仿宋_GB2312"/>
              </w:rPr>
              <w:t>标的金额 （元）</w:t>
            </w:r>
          </w:p>
        </w:tc>
        <w:tc>
          <w:tcPr>
            <w:tcW w:type="dxa" w:w="1384"/>
          </w:tcPr>
          <w:p>
            <w:pPr>
              <w:pStyle w:val="null3"/>
            </w:pPr>
            <w:r>
              <w:rPr>
                <w:rFonts w:ascii="仿宋_GB2312" w:hAnsi="仿宋_GB2312" w:cs="仿宋_GB2312" w:eastAsia="仿宋_GB2312"/>
              </w:rPr>
              <w:t>计量单位</w:t>
            </w:r>
          </w:p>
        </w:tc>
        <w:tc>
          <w:tcPr>
            <w:tcW w:type="dxa" w:w="1384"/>
          </w:tcPr>
          <w:p>
            <w:pPr>
              <w:pStyle w:val="null3"/>
            </w:pPr>
            <w:r>
              <w:rPr>
                <w:rFonts w:ascii="仿宋_GB2312" w:hAnsi="仿宋_GB2312" w:cs="仿宋_GB2312" w:eastAsia="仿宋_GB2312"/>
              </w:rPr>
              <w:t>所属行业</w:t>
            </w:r>
          </w:p>
        </w:tc>
      </w:tr>
      <w:tr>
        <w:tc>
          <w:tcPr>
            <w:tcW w:type="dxa" w:w="1384"/>
          </w:tcPr>
          <w:p>
            <w:pPr>
              <w:pStyle w:val="null3"/>
            </w:pPr>
            <w:r>
              <w:rPr>
                <w:rFonts w:ascii="仿宋_GB2312" w:hAnsi="仿宋_GB2312" w:cs="仿宋_GB2312" w:eastAsia="仿宋_GB2312"/>
              </w:rPr>
              <w:t>1</w:t>
            </w:r>
          </w:p>
        </w:tc>
        <w:tc>
          <w:tcPr>
            <w:tcW w:type="dxa" w:w="1384"/>
          </w:tcPr>
          <w:p>
            <w:pPr>
              <w:pStyle w:val="null3"/>
            </w:pPr>
            <w:r>
              <w:rPr>
                <w:rFonts w:ascii="仿宋_GB2312" w:hAnsi="仿宋_GB2312" w:cs="仿宋_GB2312" w:eastAsia="仿宋_GB2312"/>
              </w:rPr>
              <w:t>“两房”建设项目配套柴油发电机房设备建设安装工程</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288,500.00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建筑业</w:t>
            </w:r>
          </w:p>
        </w:tc>
      </w:tr>
    </w:tbl>
    <w:p>
      <w:pPr>
        <w:pStyle w:val="null3"/>
        <w:ind w:firstLine="480"/>
      </w:pPr>
      <w:r>
        <w:rPr>
          <w:rFonts w:ascii="仿宋_GB2312" w:hAnsi="仿宋_GB2312" w:cs="仿宋_GB2312" w:eastAsia="仿宋_GB2312"/>
        </w:rPr>
        <w:t>一、技术、服务标准和要求：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p>
      <w:pPr>
        <w:pStyle w:val="null3"/>
      </w:pPr>
      <w:r>
        <w:rPr>
          <w:rFonts w:ascii="仿宋_GB2312" w:hAnsi="仿宋_GB2312" w:cs="仿宋_GB2312" w:eastAsia="仿宋_GB2312"/>
        </w:rPr>
        <w:t>标的名称：“两房”建设项目配套柴油发电机房设备建设安装工程</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rFonts w:ascii="仿宋_GB2312" w:hAnsi="仿宋_GB2312" w:cs="仿宋_GB2312" w:eastAsia="仿宋_GB2312"/>
              </w:rPr>
              <w:t xml:space="preserve"> 参数性质</w:t>
            </w:r>
          </w:p>
        </w:tc>
        <w:tc>
          <w:tcPr>
            <w:tcW w:type="dxa" w:w="2076"/>
          </w:tcPr>
          <w:p>
            <w:pPr>
              <w:pStyle w:val="null3"/>
            </w:pPr>
            <w:r>
              <w:rPr>
                <w:rFonts w:ascii="仿宋_GB2312" w:hAnsi="仿宋_GB2312" w:cs="仿宋_GB2312" w:eastAsia="仿宋_GB2312"/>
              </w:rPr>
              <w:t xml:space="preserve"> 序号</w:t>
            </w:r>
          </w:p>
        </w:tc>
        <w:tc>
          <w:tcPr>
            <w:tcW w:type="dxa" w:w="2076"/>
          </w:tcPr>
          <w:p>
            <w:pPr>
              <w:pStyle w:val="null3"/>
            </w:pPr>
            <w:r>
              <w:rPr>
                <w:rFonts w:ascii="仿宋_GB2312" w:hAnsi="仿宋_GB2312" w:cs="仿宋_GB2312" w:eastAsia="仿宋_GB2312"/>
              </w:rPr>
              <w:t xml:space="preserve"> 技术要求名称</w:t>
            </w:r>
          </w:p>
        </w:tc>
        <w:tc>
          <w:tcPr>
            <w:tcW w:type="dxa" w:w="2076"/>
          </w:tcPr>
          <w:p>
            <w:pPr>
              <w:pStyle w:val="null3"/>
            </w:pPr>
            <w:r>
              <w:rPr>
                <w:rFonts w:ascii="仿宋_GB2312" w:hAnsi="仿宋_GB2312" w:cs="仿宋_GB2312" w:eastAsia="仿宋_GB2312"/>
              </w:rPr>
              <w:t xml:space="preserve"> 技术参数与性能指标</w:t>
            </w:r>
          </w:p>
        </w:tc>
      </w:tr>
      <w:tr>
        <w:tc>
          <w:tcPr>
            <w:tcW w:type="dxa" w:w="2076"/>
          </w:tcPr>
          <w:p>
            <w:pPr>
              <w:pStyle w:val="null3"/>
            </w:pPr>
            <w:r>
              <w:rPr>
                <w:rFonts w:ascii="仿宋_GB2312" w:hAnsi="仿宋_GB2312" w:cs="仿宋_GB2312" w:eastAsia="仿宋_GB2312"/>
              </w:rPr>
              <w:t>★</w:t>
            </w:r>
          </w:p>
        </w:tc>
        <w:tc>
          <w:tcPr>
            <w:tcW w:type="dxa" w:w="2076"/>
          </w:tcPr>
          <w:p>
            <w:pPr>
              <w:pStyle w:val="null3"/>
            </w:pPr>
            <w:r>
              <w:rPr>
                <w:rFonts w:ascii="仿宋_GB2312" w:hAnsi="仿宋_GB2312" w:cs="仿宋_GB2312" w:eastAsia="仿宋_GB2312"/>
              </w:rPr>
              <w:t>1</w:t>
            </w:r>
          </w:p>
        </w:tc>
        <w:tc>
          <w:tcPr>
            <w:tcW w:type="dxa" w:w="2076"/>
          </w:tcPr>
          <w:p>
            <w:pPr>
              <w:pStyle w:val="null3"/>
            </w:pPr>
            <w:r>
              <w:rPr>
                <w:rFonts w:ascii="仿宋_GB2312" w:hAnsi="仿宋_GB2312" w:cs="仿宋_GB2312" w:eastAsia="仿宋_GB2312"/>
              </w:rPr>
              <w:t>工程量清单编制说明</w:t>
            </w:r>
          </w:p>
        </w:tc>
        <w:tc>
          <w:tcPr>
            <w:tcW w:type="dxa" w:w="2076"/>
          </w:tcPr>
          <w:p>
            <w:pPr>
              <w:pStyle w:val="null3"/>
              <w:ind w:left="360"/>
              <w:jc w:val="both"/>
            </w:pPr>
            <w:r>
              <w:rPr>
                <w:rFonts w:ascii="仿宋_GB2312" w:hAnsi="仿宋_GB2312" w:cs="仿宋_GB2312" w:eastAsia="仿宋_GB2312"/>
                <w:sz w:val="24"/>
                <w:b/>
              </w:rPr>
              <w:t>项目总预算：28.85万元；其中设备安装23.85万元，土建2万，暂列金3万</w:t>
            </w:r>
          </w:p>
          <w:p>
            <w:pPr>
              <w:pStyle w:val="null3"/>
              <w:ind w:left="360"/>
              <w:jc w:val="both"/>
            </w:pPr>
            <w:r>
              <w:rPr>
                <w:rFonts w:ascii="仿宋_GB2312" w:hAnsi="仿宋_GB2312" w:cs="仿宋_GB2312" w:eastAsia="仿宋_GB2312"/>
                <w:sz w:val="28"/>
                <w:b/>
              </w:rPr>
              <w:t>一、工程概况</w:t>
            </w:r>
          </w:p>
          <w:p>
            <w:pPr>
              <w:pStyle w:val="null3"/>
              <w:ind w:firstLine="560"/>
              <w:jc w:val="both"/>
            </w:pPr>
            <w:r>
              <w:rPr>
                <w:rFonts w:ascii="仿宋_GB2312" w:hAnsi="仿宋_GB2312" w:cs="仿宋_GB2312" w:eastAsia="仿宋_GB2312"/>
                <w:sz w:val="28"/>
              </w:rPr>
              <w:t>项目名称：安康铁路运输检察院柴油发电机房</w:t>
            </w:r>
          </w:p>
          <w:p>
            <w:pPr>
              <w:pStyle w:val="null3"/>
              <w:ind w:firstLine="560"/>
              <w:jc w:val="left"/>
            </w:pPr>
            <w:r>
              <w:rPr>
                <w:rFonts w:ascii="仿宋_GB2312" w:hAnsi="仿宋_GB2312" w:cs="仿宋_GB2312" w:eastAsia="仿宋_GB2312"/>
                <w:sz w:val="28"/>
              </w:rPr>
              <w:t>工程地址：</w:t>
            </w:r>
            <w:r>
              <w:rPr>
                <w:rFonts w:ascii="仿宋_GB2312" w:hAnsi="仿宋_GB2312" w:cs="仿宋_GB2312" w:eastAsia="仿宋_GB2312"/>
                <w:sz w:val="28"/>
              </w:rPr>
              <w:t>本工程</w:t>
            </w:r>
            <w:r>
              <w:rPr>
                <w:rFonts w:ascii="仿宋_GB2312" w:hAnsi="仿宋_GB2312" w:cs="仿宋_GB2312" w:eastAsia="仿宋_GB2312"/>
                <w:sz w:val="28"/>
              </w:rPr>
              <w:t>位于陕西省安康市汉滨区江北大道</w:t>
            </w:r>
            <w:r>
              <w:rPr>
                <w:rFonts w:ascii="仿宋_GB2312" w:hAnsi="仿宋_GB2312" w:cs="仿宋_GB2312" w:eastAsia="仿宋_GB2312"/>
                <w:sz w:val="28"/>
              </w:rPr>
              <w:t>80号。</w:t>
            </w:r>
          </w:p>
          <w:p>
            <w:pPr>
              <w:pStyle w:val="null3"/>
              <w:ind w:firstLine="560"/>
              <w:jc w:val="both"/>
            </w:pPr>
            <w:r>
              <w:rPr>
                <w:rFonts w:ascii="仿宋_GB2312" w:hAnsi="仿宋_GB2312" w:cs="仿宋_GB2312" w:eastAsia="仿宋_GB2312"/>
                <w:sz w:val="28"/>
              </w:rPr>
              <w:t>工程内容：该项目包含</w:t>
            </w:r>
            <w:r>
              <w:rPr>
                <w:rFonts w:ascii="仿宋_GB2312" w:hAnsi="仿宋_GB2312" w:cs="仿宋_GB2312" w:eastAsia="仿宋_GB2312"/>
                <w:sz w:val="28"/>
              </w:rPr>
              <w:t>250kw柴油发电机组一台、配套电气设备安装工程、配套土建工程等。</w:t>
            </w:r>
          </w:p>
          <w:p>
            <w:pPr>
              <w:pStyle w:val="null3"/>
              <w:ind w:left="360"/>
              <w:jc w:val="both"/>
            </w:pPr>
            <w:r>
              <w:rPr>
                <w:rFonts w:ascii="仿宋_GB2312" w:hAnsi="仿宋_GB2312" w:cs="仿宋_GB2312" w:eastAsia="仿宋_GB2312"/>
                <w:sz w:val="28"/>
                <w:b/>
              </w:rPr>
              <w:t>二、编制范围</w:t>
            </w:r>
          </w:p>
          <w:p>
            <w:pPr>
              <w:pStyle w:val="null3"/>
              <w:ind w:left="210" w:firstLine="560"/>
            </w:pPr>
            <w:r>
              <w:rPr>
                <w:rFonts w:ascii="仿宋_GB2312" w:hAnsi="仿宋_GB2312" w:cs="仿宋_GB2312" w:eastAsia="仿宋_GB2312"/>
                <w:sz w:val="28"/>
              </w:rPr>
              <w:t>本工程编制范围为安康检察院柴发机房深化图纸包含的所有内容，包括</w:t>
            </w:r>
            <w:r>
              <w:rPr>
                <w:rFonts w:ascii="仿宋_GB2312" w:hAnsi="仿宋_GB2312" w:cs="仿宋_GB2312" w:eastAsia="仿宋_GB2312"/>
                <w:sz w:val="28"/>
              </w:rPr>
              <w:t>250kw 柴油发电机组一台及配套排烟、储油设备、自动控制系统等，包括配套电缆桥架、电缆等电气设备安装工程，包括发电机房大门封堵、移位安装、设备基础、排风口开洞等配套土建工程，具体内容详见工程量清单</w:t>
            </w:r>
            <w:r>
              <w:rPr>
                <w:rFonts w:ascii="仿宋_GB2312" w:hAnsi="仿宋_GB2312" w:cs="仿宋_GB2312" w:eastAsia="仿宋_GB2312"/>
                <w:sz w:val="28"/>
              </w:rPr>
              <w:t>。</w:t>
            </w:r>
          </w:p>
          <w:p>
            <w:pPr>
              <w:pStyle w:val="null3"/>
              <w:ind w:left="360"/>
              <w:jc w:val="both"/>
            </w:pPr>
            <w:r>
              <w:rPr>
                <w:rFonts w:ascii="仿宋_GB2312" w:hAnsi="仿宋_GB2312" w:cs="仿宋_GB2312" w:eastAsia="仿宋_GB2312"/>
                <w:sz w:val="28"/>
                <w:b/>
              </w:rPr>
              <w:t>三、编制依据</w:t>
            </w:r>
          </w:p>
          <w:p>
            <w:pPr>
              <w:pStyle w:val="null3"/>
              <w:numPr>
                <w:ilvl w:val="0"/>
                <w:numId w:val="1"/>
              </w:numPr>
              <w:jc w:val="both"/>
            </w:pPr>
            <w:r>
              <w:rPr>
                <w:rFonts w:ascii="仿宋_GB2312" w:hAnsi="仿宋_GB2312" w:cs="仿宋_GB2312" w:eastAsia="仿宋_GB2312"/>
                <w:sz w:val="28"/>
              </w:rPr>
              <w:t>《</w:t>
            </w:r>
            <w:r>
              <w:rPr>
                <w:rFonts w:ascii="仿宋_GB2312" w:hAnsi="仿宋_GB2312" w:cs="仿宋_GB2312" w:eastAsia="仿宋_GB2312"/>
                <w:sz w:val="28"/>
              </w:rPr>
              <w:t>安康检察院柴发机房深化图</w:t>
            </w:r>
            <w:r>
              <w:rPr>
                <w:rFonts w:ascii="仿宋_GB2312" w:hAnsi="仿宋_GB2312" w:cs="仿宋_GB2312" w:eastAsia="仿宋_GB2312"/>
                <w:sz w:val="28"/>
              </w:rPr>
              <w:t>》；</w:t>
            </w:r>
          </w:p>
          <w:p>
            <w:pPr>
              <w:pStyle w:val="null3"/>
              <w:numPr>
                <w:ilvl w:val="0"/>
                <w:numId w:val="1"/>
              </w:numPr>
              <w:jc w:val="both"/>
            </w:pPr>
            <w:r>
              <w:rPr>
                <w:rFonts w:ascii="仿宋_GB2312" w:hAnsi="仿宋_GB2312" w:cs="仿宋_GB2312" w:eastAsia="仿宋_GB2312"/>
                <w:sz w:val="28"/>
              </w:rPr>
              <w:t>《陕西省建设工程工程量清单计价规则》（</w:t>
            </w:r>
            <w:r>
              <w:rPr>
                <w:rFonts w:ascii="仿宋_GB2312" w:hAnsi="仿宋_GB2312" w:cs="仿宋_GB2312" w:eastAsia="仿宋_GB2312"/>
                <w:sz w:val="28"/>
              </w:rPr>
              <w:t>2009）；《陕西省建筑</w:t>
            </w:r>
            <w:r>
              <w:rPr>
                <w:rFonts w:ascii="仿宋_GB2312" w:hAnsi="仿宋_GB2312" w:cs="仿宋_GB2312" w:eastAsia="仿宋_GB2312"/>
                <w:sz w:val="28"/>
              </w:rPr>
              <w:t>、</w:t>
            </w:r>
            <w:r>
              <w:rPr>
                <w:rFonts w:ascii="仿宋_GB2312" w:hAnsi="仿宋_GB2312" w:cs="仿宋_GB2312" w:eastAsia="仿宋_GB2312"/>
                <w:sz w:val="28"/>
              </w:rPr>
              <w:t>装饰、安装</w:t>
            </w:r>
            <w:r>
              <w:rPr>
                <w:rFonts w:ascii="仿宋_GB2312" w:hAnsi="仿宋_GB2312" w:cs="仿宋_GB2312" w:eastAsia="仿宋_GB2312"/>
                <w:sz w:val="28"/>
              </w:rPr>
              <w:t>、</w:t>
            </w:r>
            <w:r>
              <w:rPr>
                <w:rFonts w:ascii="仿宋_GB2312" w:hAnsi="仿宋_GB2312" w:cs="仿宋_GB2312" w:eastAsia="仿宋_GB2312"/>
                <w:sz w:val="28"/>
              </w:rPr>
              <w:t>工程消耗量定额》（</w:t>
            </w:r>
            <w:r>
              <w:rPr>
                <w:rFonts w:ascii="仿宋_GB2312" w:hAnsi="仿宋_GB2312" w:cs="仿宋_GB2312" w:eastAsia="仿宋_GB2312"/>
                <w:sz w:val="28"/>
              </w:rPr>
              <w:t>2004）；《陕西省建设工程消耗量定额</w:t>
            </w:r>
            <w:r>
              <w:rPr>
                <w:rFonts w:ascii="仿宋_GB2312" w:hAnsi="仿宋_GB2312" w:cs="仿宋_GB2312" w:eastAsia="仿宋_GB2312"/>
                <w:sz w:val="28"/>
              </w:rPr>
              <w:t>（</w:t>
            </w:r>
            <w:r>
              <w:rPr>
                <w:rFonts w:ascii="仿宋_GB2312" w:hAnsi="仿宋_GB2312" w:cs="仿宋_GB2312" w:eastAsia="仿宋_GB2312"/>
                <w:sz w:val="28"/>
              </w:rPr>
              <w:t>2004</w:t>
            </w:r>
            <w:r>
              <w:rPr>
                <w:rFonts w:ascii="仿宋_GB2312" w:hAnsi="仿宋_GB2312" w:cs="仿宋_GB2312" w:eastAsia="仿宋_GB2312"/>
                <w:sz w:val="28"/>
              </w:rPr>
              <w:t>）</w:t>
            </w:r>
            <w:r>
              <w:rPr>
                <w:rFonts w:ascii="仿宋_GB2312" w:hAnsi="仿宋_GB2312" w:cs="仿宋_GB2312" w:eastAsia="仿宋_GB2312"/>
                <w:sz w:val="28"/>
              </w:rPr>
              <w:t>补充定额》（</w:t>
            </w:r>
            <w:r>
              <w:rPr>
                <w:rFonts w:ascii="仿宋_GB2312" w:hAnsi="仿宋_GB2312" w:cs="仿宋_GB2312" w:eastAsia="仿宋_GB2312"/>
                <w:sz w:val="28"/>
              </w:rPr>
              <w:t>200</w:t>
            </w:r>
            <w:r>
              <w:rPr>
                <w:rFonts w:ascii="仿宋_GB2312" w:hAnsi="仿宋_GB2312" w:cs="仿宋_GB2312" w:eastAsia="仿宋_GB2312"/>
                <w:sz w:val="28"/>
              </w:rPr>
              <w:t>9</w:t>
            </w:r>
            <w:r>
              <w:rPr>
                <w:rFonts w:ascii="仿宋_GB2312" w:hAnsi="仿宋_GB2312" w:cs="仿宋_GB2312" w:eastAsia="仿宋_GB2312"/>
                <w:sz w:val="28"/>
              </w:rPr>
              <w:t>）</w:t>
            </w:r>
          </w:p>
          <w:p>
            <w:pPr>
              <w:pStyle w:val="null3"/>
              <w:numPr>
                <w:ilvl w:val="0"/>
                <w:numId w:val="1"/>
              </w:numPr>
              <w:jc w:val="both"/>
            </w:pPr>
            <w:r>
              <w:rPr>
                <w:rFonts w:ascii="仿宋_GB2312" w:hAnsi="仿宋_GB2312" w:cs="仿宋_GB2312" w:eastAsia="仿宋_GB2312"/>
                <w:sz w:val="28"/>
              </w:rPr>
              <w:t>扬尘治理专项措施费执行陕建发</w:t>
            </w:r>
            <w:r>
              <w:rPr>
                <w:rFonts w:ascii="仿宋_GB2312" w:hAnsi="仿宋_GB2312" w:cs="仿宋_GB2312" w:eastAsia="仿宋_GB2312"/>
                <w:sz w:val="28"/>
              </w:rPr>
              <w:t>[2017]270号《关于增加建设工程扬尘治理专项措施费及综合人工单价调整的通知》；</w:t>
            </w:r>
          </w:p>
          <w:p>
            <w:pPr>
              <w:pStyle w:val="null3"/>
              <w:numPr>
                <w:ilvl w:val="0"/>
                <w:numId w:val="1"/>
              </w:numPr>
              <w:jc w:val="both"/>
            </w:pPr>
            <w:r>
              <w:rPr>
                <w:rFonts w:ascii="仿宋_GB2312" w:hAnsi="仿宋_GB2312" w:cs="仿宋_GB2312" w:eastAsia="仿宋_GB2312"/>
                <w:sz w:val="28"/>
              </w:rPr>
              <w:t>税率执行陕建发〔</w:t>
            </w:r>
            <w:r>
              <w:rPr>
                <w:rFonts w:ascii="仿宋_GB2312" w:hAnsi="仿宋_GB2312" w:cs="仿宋_GB2312" w:eastAsia="仿宋_GB2312"/>
                <w:sz w:val="28"/>
              </w:rPr>
              <w:t>2019〕45号《关于调整我省建设工程计价依据的通知》；</w:t>
            </w:r>
          </w:p>
          <w:p>
            <w:pPr>
              <w:pStyle w:val="null3"/>
              <w:numPr>
                <w:ilvl w:val="0"/>
                <w:numId w:val="1"/>
              </w:numPr>
              <w:jc w:val="both"/>
            </w:pPr>
            <w:r>
              <w:rPr>
                <w:rFonts w:ascii="仿宋_GB2312" w:hAnsi="仿宋_GB2312" w:cs="仿宋_GB2312" w:eastAsia="仿宋_GB2312"/>
                <w:sz w:val="28"/>
              </w:rPr>
              <w:t>建筑工人实名制管理费执行陕建发〔</w:t>
            </w:r>
            <w:r>
              <w:rPr>
                <w:rFonts w:ascii="仿宋_GB2312" w:hAnsi="仿宋_GB2312" w:cs="仿宋_GB2312" w:eastAsia="仿宋_GB2312"/>
                <w:sz w:val="28"/>
              </w:rPr>
              <w:t>2019〕1246号《关于发布我省落实建筑工人实名制管理计价依据的通知》；</w:t>
            </w:r>
          </w:p>
          <w:p>
            <w:pPr>
              <w:pStyle w:val="null3"/>
              <w:numPr>
                <w:ilvl w:val="0"/>
                <w:numId w:val="1"/>
              </w:numPr>
              <w:jc w:val="both"/>
            </w:pPr>
            <w:r>
              <w:rPr>
                <w:rFonts w:ascii="仿宋_GB2312" w:hAnsi="仿宋_GB2312" w:cs="仿宋_GB2312" w:eastAsia="仿宋_GB2312"/>
                <w:sz w:val="28"/>
              </w:rPr>
              <w:t>建筑施工安全生产责任保险费率执行陕建发（</w:t>
            </w:r>
            <w:r>
              <w:rPr>
                <w:rFonts w:ascii="仿宋_GB2312" w:hAnsi="仿宋_GB2312" w:cs="仿宋_GB2312" w:eastAsia="仿宋_GB2312"/>
                <w:sz w:val="28"/>
              </w:rPr>
              <w:t>2020）1097号《关于建筑施工安全生产责任保险费用计价的通知》；</w:t>
            </w:r>
          </w:p>
          <w:p>
            <w:pPr>
              <w:pStyle w:val="null3"/>
              <w:numPr>
                <w:ilvl w:val="0"/>
                <w:numId w:val="1"/>
              </w:numPr>
              <w:jc w:val="both"/>
            </w:pPr>
            <w:r>
              <w:rPr>
                <w:rFonts w:ascii="仿宋_GB2312" w:hAnsi="仿宋_GB2312" w:cs="仿宋_GB2312" w:eastAsia="仿宋_GB2312"/>
                <w:sz w:val="28"/>
              </w:rPr>
              <w:t>执行陕建发</w:t>
            </w:r>
            <w:r>
              <w:rPr>
                <w:rFonts w:ascii="仿宋_GB2312" w:hAnsi="仿宋_GB2312" w:cs="仿宋_GB2312" w:eastAsia="仿宋_GB2312"/>
                <w:sz w:val="28"/>
              </w:rPr>
              <w:t>[2021]1021号《陕西省住房和城乡建设厅关于全省统一停止收缴建筑业劳保费用的通知》，养老保险不再扣除；</w:t>
            </w:r>
          </w:p>
          <w:p>
            <w:pPr>
              <w:pStyle w:val="null3"/>
              <w:numPr>
                <w:ilvl w:val="0"/>
                <w:numId w:val="1"/>
              </w:numPr>
              <w:jc w:val="both"/>
            </w:pPr>
            <w:r>
              <w:rPr>
                <w:rFonts w:ascii="仿宋_GB2312" w:hAnsi="仿宋_GB2312" w:cs="仿宋_GB2312" w:eastAsia="仿宋_GB2312"/>
                <w:sz w:val="28"/>
              </w:rPr>
              <w:t>相关的标准图集、文件及技术资料；</w:t>
            </w:r>
          </w:p>
          <w:p>
            <w:pPr>
              <w:pStyle w:val="null3"/>
              <w:numPr>
                <w:ilvl w:val="0"/>
                <w:numId w:val="1"/>
              </w:numPr>
              <w:jc w:val="both"/>
            </w:pPr>
            <w:r>
              <w:rPr>
                <w:rFonts w:ascii="仿宋_GB2312" w:hAnsi="仿宋_GB2312" w:cs="仿宋_GB2312" w:eastAsia="仿宋_GB2312"/>
                <w:sz w:val="28"/>
              </w:rPr>
              <w:t>与本项目相适应的常规施工组织设计。</w:t>
            </w:r>
          </w:p>
          <w:p>
            <w:pPr>
              <w:pStyle w:val="null3"/>
              <w:ind w:left="360"/>
              <w:jc w:val="both"/>
            </w:pPr>
            <w:r>
              <w:rPr>
                <w:rFonts w:ascii="仿宋_GB2312" w:hAnsi="仿宋_GB2312" w:cs="仿宋_GB2312" w:eastAsia="仿宋_GB2312"/>
                <w:sz w:val="28"/>
                <w:b/>
              </w:rPr>
              <w:t>四、其他说明</w:t>
            </w:r>
          </w:p>
          <w:p>
            <w:pPr>
              <w:pStyle w:val="null3"/>
              <w:ind w:left="210" w:firstLine="327"/>
              <w:jc w:val="both"/>
            </w:pPr>
            <w:r>
              <w:rPr>
                <w:rFonts w:ascii="仿宋_GB2312" w:hAnsi="仿宋_GB2312" w:cs="仿宋_GB2312" w:eastAsia="仿宋_GB2312"/>
                <w:sz w:val="28"/>
              </w:rPr>
              <w:t>1</w:t>
            </w:r>
            <w:r>
              <w:rPr>
                <w:rFonts w:ascii="仿宋_GB2312" w:hAnsi="仿宋_GB2312" w:cs="仿宋_GB2312" w:eastAsia="仿宋_GB2312"/>
                <w:sz w:val="28"/>
              </w:rPr>
              <w:t>.</w:t>
            </w:r>
            <w:r>
              <w:rPr>
                <w:rFonts w:ascii="仿宋_GB2312" w:hAnsi="仿宋_GB2312" w:cs="仿宋_GB2312" w:eastAsia="仿宋_GB2312"/>
                <w:sz w:val="28"/>
              </w:rPr>
              <w:t>本项目暂列金</w:t>
            </w:r>
            <w:r>
              <w:rPr>
                <w:rFonts w:ascii="仿宋_GB2312" w:hAnsi="仿宋_GB2312" w:cs="仿宋_GB2312" w:eastAsia="仿宋_GB2312"/>
                <w:sz w:val="28"/>
              </w:rPr>
              <w:t>3.00万元计入土建配套工程内；</w:t>
            </w:r>
          </w:p>
          <w:p>
            <w:pPr>
              <w:pStyle w:val="null3"/>
              <w:ind w:left="210" w:firstLine="327"/>
              <w:jc w:val="both"/>
            </w:pPr>
            <w:r>
              <w:rPr>
                <w:rFonts w:ascii="仿宋_GB2312" w:hAnsi="仿宋_GB2312" w:cs="仿宋_GB2312" w:eastAsia="仿宋_GB2312"/>
                <w:sz w:val="28"/>
              </w:rPr>
              <w:t>2.垃圾外运暂按运距10km考虑；</w:t>
            </w:r>
          </w:p>
          <w:p>
            <w:pPr>
              <w:pStyle w:val="null3"/>
              <w:jc w:val="both"/>
            </w:pPr>
            <w:r>
              <w:rPr>
                <w:rFonts w:ascii="仿宋_GB2312" w:hAnsi="仿宋_GB2312" w:cs="仿宋_GB2312" w:eastAsia="仿宋_GB2312"/>
                <w:sz w:val="28"/>
              </w:rPr>
              <w:t>3.</w:t>
            </w:r>
            <w:r>
              <w:rPr>
                <w:rFonts w:ascii="仿宋_GB2312" w:hAnsi="仿宋_GB2312" w:cs="仿宋_GB2312" w:eastAsia="仿宋_GB2312"/>
                <w:sz w:val="28"/>
              </w:rPr>
              <w:t>编制软件采用广联达云计价平台</w:t>
            </w:r>
            <w:r>
              <w:rPr>
                <w:rFonts w:ascii="仿宋_GB2312" w:hAnsi="仿宋_GB2312" w:cs="仿宋_GB2312" w:eastAsia="仿宋_GB2312"/>
                <w:sz w:val="28"/>
              </w:rPr>
              <w:t>GCCP6.0计价，版本号6.4100.</w:t>
            </w:r>
            <w:r>
              <w:rPr>
                <w:rFonts w:ascii="仿宋_GB2312" w:hAnsi="仿宋_GB2312" w:cs="仿宋_GB2312" w:eastAsia="仿宋_GB2312"/>
                <w:sz w:val="28"/>
              </w:rPr>
              <w:t>4</w:t>
            </w:r>
            <w:r>
              <w:rPr>
                <w:rFonts w:ascii="仿宋_GB2312" w:hAnsi="仿宋_GB2312" w:cs="仿宋_GB2312" w:eastAsia="仿宋_GB2312"/>
                <w:sz w:val="28"/>
              </w:rPr>
              <w:t>.1</w:t>
            </w:r>
            <w:r>
              <w:rPr>
                <w:rFonts w:ascii="仿宋_GB2312" w:hAnsi="仿宋_GB2312" w:cs="仿宋_GB2312" w:eastAsia="仿宋_GB2312"/>
                <w:sz w:val="28"/>
              </w:rPr>
              <w:t>20。</w:t>
            </w:r>
          </w:p>
        </w:tc>
      </w:tr>
      <w:tr>
        <w:tc>
          <w:tcPr>
            <w:tcW w:type="dxa" w:w="2076"/>
          </w:tcPr>
          <w:p>
            <w:pPr>
              <w:pStyle w:val="null3"/>
            </w:pPr>
            <w:r>
              <w:rPr>
                <w:rFonts w:ascii="仿宋_GB2312" w:hAnsi="仿宋_GB2312" w:cs="仿宋_GB2312" w:eastAsia="仿宋_GB2312"/>
              </w:rPr>
              <w:t>★</w:t>
            </w:r>
          </w:p>
        </w:tc>
        <w:tc>
          <w:tcPr>
            <w:tcW w:type="dxa" w:w="2076"/>
          </w:tcPr>
          <w:p>
            <w:pPr>
              <w:pStyle w:val="null3"/>
            </w:pPr>
            <w:r>
              <w:rPr>
                <w:rFonts w:ascii="仿宋_GB2312" w:hAnsi="仿宋_GB2312" w:cs="仿宋_GB2312" w:eastAsia="仿宋_GB2312"/>
              </w:rPr>
              <w:t>2</w:t>
            </w:r>
          </w:p>
        </w:tc>
        <w:tc>
          <w:tcPr>
            <w:tcW w:type="dxa" w:w="2076"/>
          </w:tcPr>
          <w:p>
            <w:pPr>
              <w:pStyle w:val="null3"/>
            </w:pPr>
            <w:r>
              <w:rPr>
                <w:rFonts w:ascii="仿宋_GB2312" w:hAnsi="仿宋_GB2312" w:cs="仿宋_GB2312" w:eastAsia="仿宋_GB2312"/>
              </w:rPr>
              <w:t>工程量清单</w:t>
            </w:r>
          </w:p>
        </w:tc>
        <w:tc>
          <w:tcPr>
            <w:tcW w:type="dxa" w:w="2076"/>
          </w:tcPr>
          <w:p>
            <w:pPr>
              <w:pStyle w:val="null3"/>
            </w:pPr>
            <w:r>
              <w:drawing>
                <wp:inline distT="0" distR="0" distB="0" distL="0">
                  <wp:extent cx="1181100" cy="1666766"/>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1181100" cy="1666766"/>
                          </a:xfrm>
                          <a:prstGeom prst="rect">
                            <a:avLst/>
                          </a:prstGeom>
                        </pic:spPr>
                      </pic:pic>
                    </a:graphicData>
                  </a:graphic>
                </wp:inline>
              </w:drawing>
            </w:r>
            <w:r>
              <w:drawing>
                <wp:inline distT="0" distR="0" distB="0" distL="0">
                  <wp:extent cx="1181100" cy="1666766"/>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1181100" cy="1666766"/>
                          </a:xfrm>
                          <a:prstGeom prst="rect">
                            <a:avLst/>
                          </a:prstGeom>
                        </pic:spPr>
                      </pic:pic>
                    </a:graphicData>
                  </a:graphic>
                </wp:inline>
              </w:drawing>
            </w:r>
            <w:r>
              <w:drawing>
                <wp:inline distT="0" distR="0" distB="0" distL="0">
                  <wp:extent cx="1181100" cy="1666766"/>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1181100" cy="1666766"/>
                          </a:xfrm>
                          <a:prstGeom prst="rect">
                            <a:avLst/>
                          </a:prstGeom>
                        </pic:spPr>
                      </pic:pic>
                    </a:graphicData>
                  </a:graphic>
                </wp:inline>
              </w:drawing>
            </w:r>
            <w:r>
              <w:drawing>
                <wp:inline distT="0" distR="0" distB="0" distL="0">
                  <wp:extent cx="1181100" cy="1666766"/>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1181100" cy="1666766"/>
                          </a:xfrm>
                          <a:prstGeom prst="rect">
                            <a:avLst/>
                          </a:prstGeom>
                        </pic:spPr>
                      </pic:pic>
                    </a:graphicData>
                  </a:graphic>
                </wp:inline>
              </w:drawing>
            </w:r>
            <w:r>
              <w:drawing>
                <wp:inline distT="0" distR="0" distB="0" distL="0">
                  <wp:extent cx="1181100" cy="1666766"/>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1181100" cy="1666766"/>
                          </a:xfrm>
                          <a:prstGeom prst="rect">
                            <a:avLst/>
                          </a:prstGeom>
                        </pic:spPr>
                      </pic:pic>
                    </a:graphicData>
                  </a:graphic>
                </wp:inline>
              </w:drawing>
            </w:r>
            <w:r>
              <w:drawing>
                <wp:inline distT="0" distR="0" distB="0" distL="0">
                  <wp:extent cx="1181100" cy="166676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2"/>
                          <a:stretch>
                            <a:fillRect/>
                          </a:stretch>
                        </pic:blipFill>
                        <pic:spPr>
                          <a:xfrm>
                            <a:off x="0" y="0"/>
                            <a:ext cx="1181100" cy="1666766"/>
                          </a:xfrm>
                          <a:prstGeom prst="rect">
                            <a:avLst/>
                          </a:prstGeom>
                        </pic:spPr>
                      </pic:pic>
                    </a:graphicData>
                  </a:graphic>
                </wp:inline>
              </w:drawing>
            </w:r>
            <w:r>
              <w:drawing>
                <wp:inline distT="0" distR="0" distB="0" distL="0">
                  <wp:extent cx="1181100" cy="1666766"/>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3"/>
                          <a:stretch>
                            <a:fillRect/>
                          </a:stretch>
                        </pic:blipFill>
                        <pic:spPr>
                          <a:xfrm>
                            <a:off x="0" y="0"/>
                            <a:ext cx="1181100" cy="1666766"/>
                          </a:xfrm>
                          <a:prstGeom prst="rect">
                            <a:avLst/>
                          </a:prstGeom>
                        </pic:spPr>
                      </pic:pic>
                    </a:graphicData>
                  </a:graphic>
                </wp:inline>
              </w:drawing>
            </w:r>
            <w:r>
              <w:drawing>
                <wp:inline distT="0" distR="0" distB="0" distL="0">
                  <wp:extent cx="1181100" cy="1666766"/>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4"/>
                          <a:stretch>
                            <a:fillRect/>
                          </a:stretch>
                        </pic:blipFill>
                        <pic:spPr>
                          <a:xfrm>
                            <a:off x="0" y="0"/>
                            <a:ext cx="1181100" cy="1666766"/>
                          </a:xfrm>
                          <a:prstGeom prst="rect">
                            <a:avLst/>
                          </a:prstGeom>
                        </pic:spPr>
                      </pic:pic>
                    </a:graphicData>
                  </a:graphic>
                </wp:inline>
              </w:drawing>
            </w:r>
            <w:r>
              <w:drawing>
                <wp:inline distT="0" distR="0" distB="0" distL="0">
                  <wp:extent cx="1181100" cy="1666766"/>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5"/>
                          <a:stretch>
                            <a:fillRect/>
                          </a:stretch>
                        </pic:blipFill>
                        <pic:spPr>
                          <a:xfrm>
                            <a:off x="0" y="0"/>
                            <a:ext cx="1181100" cy="1666766"/>
                          </a:xfrm>
                          <a:prstGeom prst="rect">
                            <a:avLst/>
                          </a:prstGeom>
                        </pic:spPr>
                      </pic:pic>
                    </a:graphicData>
                  </a:graphic>
                </wp:inline>
              </w:drawing>
            </w:r>
            <w:r>
              <w:drawing>
                <wp:inline distT="0" distR="0" distB="0" distL="0">
                  <wp:extent cx="1181100" cy="166676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6"/>
                          <a:stretch>
                            <a:fillRect/>
                          </a:stretch>
                        </pic:blipFill>
                        <pic:spPr>
                          <a:xfrm>
                            <a:off x="0" y="0"/>
                            <a:ext cx="1181100" cy="1666766"/>
                          </a:xfrm>
                          <a:prstGeom prst="rect">
                            <a:avLst/>
                          </a:prstGeom>
                        </pic:spPr>
                      </pic:pic>
                    </a:graphicData>
                  </a:graphic>
                </wp:inline>
              </w:drawing>
            </w:r>
            <w:r>
              <w:drawing>
                <wp:inline distT="0" distR="0" distB="0" distL="0">
                  <wp:extent cx="1181100" cy="166676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7"/>
                          <a:stretch>
                            <a:fillRect/>
                          </a:stretch>
                        </pic:blipFill>
                        <pic:spPr>
                          <a:xfrm>
                            <a:off x="0" y="0"/>
                            <a:ext cx="1181100" cy="1666766"/>
                          </a:xfrm>
                          <a:prstGeom prst="rect">
                            <a:avLst/>
                          </a:prstGeom>
                        </pic:spPr>
                      </pic:pic>
                    </a:graphicData>
                  </a:graphic>
                </wp:inline>
              </w:drawing>
            </w:r>
            <w:r>
              <w:drawing>
                <wp:inline distT="0" distR="0" distB="0" distL="0">
                  <wp:extent cx="1181100" cy="1666766"/>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8"/>
                          <a:stretch>
                            <a:fillRect/>
                          </a:stretch>
                        </pic:blipFill>
                        <pic:spPr>
                          <a:xfrm>
                            <a:off x="0" y="0"/>
                            <a:ext cx="1181100" cy="1666766"/>
                          </a:xfrm>
                          <a:prstGeom prst="rect">
                            <a:avLst/>
                          </a:prstGeom>
                        </pic:spPr>
                      </pic:pic>
                    </a:graphicData>
                  </a:graphic>
                </wp:inline>
              </w:drawing>
            </w:r>
          </w:p>
        </w:tc>
      </w:tr>
      <w:tr>
        <w:tc>
          <w:tcPr>
            <w:tcW w:type="dxa" w:w="2076"/>
          </w:tcPr>
          <w:p>
            <w:pPr>
              <w:pStyle w:val="null3"/>
            </w:pPr>
            <w:r>
              <w:rPr>
                <w:rFonts w:ascii="仿宋_GB2312" w:hAnsi="仿宋_GB2312" w:cs="仿宋_GB2312" w:eastAsia="仿宋_GB2312"/>
              </w:rPr>
              <w:t>★</w:t>
            </w:r>
          </w:p>
        </w:tc>
        <w:tc>
          <w:tcPr>
            <w:tcW w:type="dxa" w:w="2076"/>
          </w:tcPr>
          <w:p>
            <w:pPr>
              <w:pStyle w:val="null3"/>
            </w:pPr>
            <w:r>
              <w:rPr>
                <w:rFonts w:ascii="仿宋_GB2312" w:hAnsi="仿宋_GB2312" w:cs="仿宋_GB2312" w:eastAsia="仿宋_GB2312"/>
              </w:rPr>
              <w:t>3</w:t>
            </w:r>
          </w:p>
        </w:tc>
        <w:tc>
          <w:tcPr>
            <w:tcW w:type="dxa" w:w="2076"/>
          </w:tcPr>
          <w:p>
            <w:pPr>
              <w:pStyle w:val="null3"/>
            </w:pPr>
            <w:r>
              <w:rPr>
                <w:rFonts w:ascii="仿宋_GB2312" w:hAnsi="仿宋_GB2312" w:cs="仿宋_GB2312" w:eastAsia="仿宋_GB2312"/>
              </w:rPr>
              <w:t>250kw柴油发电机</w:t>
            </w:r>
          </w:p>
        </w:tc>
        <w:tc>
          <w:tcPr>
            <w:tcW w:type="dxa" w:w="2076"/>
          </w:tcPr>
          <w:p>
            <w:pPr>
              <w:pStyle w:val="null3"/>
              <w:ind w:firstLine="482"/>
              <w:jc w:val="center"/>
            </w:pPr>
            <w:r>
              <w:rPr>
                <w:rFonts w:ascii="仿宋_GB2312" w:hAnsi="仿宋_GB2312" w:cs="仿宋_GB2312" w:eastAsia="仿宋_GB2312"/>
                <w:sz w:val="24"/>
                <w:b/>
              </w:rPr>
              <w:t>1.设备需求一览表</w:t>
            </w:r>
          </w:p>
          <w:tbl>
            <w:tblPr>
              <w:tblBorders>
                <w:top w:val="none" w:color="000000" w:sz="4"/>
                <w:left w:val="none" w:color="000000" w:sz="4"/>
                <w:bottom w:val="none" w:color="000000" w:sz="4"/>
                <w:right w:val="none" w:color="000000" w:sz="4"/>
                <w:insideH w:val="none"/>
                <w:insideV w:val="none"/>
              </w:tblBorders>
            </w:tblPr>
            <w:tblGrid>
              <w:gridCol w:w="95"/>
              <w:gridCol w:w="134"/>
              <w:gridCol w:w="165"/>
              <w:gridCol w:w="187"/>
              <w:gridCol w:w="95"/>
              <w:gridCol w:w="1183"/>
            </w:tblGrid>
            <w:tr>
              <w:tc>
                <w:tcPr>
                  <w:tcW w:type="dxa" w:w="9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序号</w:t>
                  </w:r>
                </w:p>
              </w:tc>
              <w:tc>
                <w:tcPr>
                  <w:tcW w:type="dxa" w:w="13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设备</w:t>
                  </w:r>
                </w:p>
                <w:p>
                  <w:pPr>
                    <w:pStyle w:val="null3"/>
                    <w:jc w:val="center"/>
                  </w:pPr>
                  <w:r>
                    <w:rPr>
                      <w:rFonts w:ascii="仿宋_GB2312" w:hAnsi="仿宋_GB2312" w:cs="仿宋_GB2312" w:eastAsia="仿宋_GB2312"/>
                      <w:sz w:val="24"/>
                      <w:b/>
                    </w:rPr>
                    <w:t>名称</w:t>
                  </w:r>
                </w:p>
              </w:tc>
              <w:tc>
                <w:tcPr>
                  <w:tcW w:type="dxa" w:w="16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规格</w:t>
                  </w:r>
                </w:p>
                <w:p>
                  <w:pPr>
                    <w:pStyle w:val="null3"/>
                    <w:jc w:val="center"/>
                  </w:pPr>
                  <w:r>
                    <w:rPr>
                      <w:rFonts w:ascii="仿宋_GB2312" w:hAnsi="仿宋_GB2312" w:cs="仿宋_GB2312" w:eastAsia="仿宋_GB2312"/>
                      <w:sz w:val="24"/>
                      <w:b/>
                    </w:rPr>
                    <w:t>型号</w:t>
                  </w:r>
                </w:p>
              </w:tc>
              <w:tc>
                <w:tcPr>
                  <w:tcW w:type="dxa" w:w="18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数量</w:t>
                  </w:r>
                </w:p>
              </w:tc>
              <w:tc>
                <w:tcPr>
                  <w:tcW w:type="dxa" w:w="9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单位</w:t>
                  </w:r>
                </w:p>
              </w:tc>
              <w:tc>
                <w:tcPr>
                  <w:tcW w:type="dxa" w:w="118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45" w:right="-45"/>
                    <w:jc w:val="center"/>
                  </w:pPr>
                  <w:r>
                    <w:rPr>
                      <w:rFonts w:ascii="仿宋_GB2312" w:hAnsi="仿宋_GB2312" w:cs="仿宋_GB2312" w:eastAsia="仿宋_GB2312"/>
                      <w:sz w:val="24"/>
                      <w:b/>
                    </w:rPr>
                    <w:t>交货日期</w:t>
                  </w:r>
                </w:p>
              </w:tc>
            </w:tr>
            <w:tr>
              <w:tc>
                <w:tcPr>
                  <w:tcW w:type="dxa" w:w="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45" w:right="-45"/>
                    <w:jc w:val="center"/>
                  </w:pPr>
                  <w:r>
                    <w:rPr>
                      <w:rFonts w:ascii="仿宋_GB2312" w:hAnsi="仿宋_GB2312" w:cs="仿宋_GB2312" w:eastAsia="仿宋_GB2312"/>
                      <w:sz w:val="24"/>
                    </w:rPr>
                    <w:t>1</w:t>
                  </w:r>
                </w:p>
                <w:p>
                  <w:pPr>
                    <w:pStyle w:val="null3"/>
                    <w:ind w:left="-45" w:right="-45"/>
                    <w:jc w:val="center"/>
                  </w:pPr>
                </w:p>
              </w:tc>
              <w:tc>
                <w:tcPr>
                  <w:tcW w:type="dxa" w:w="13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发电机组</w:t>
                  </w:r>
                </w:p>
                <w:p>
                  <w:pPr>
                    <w:pStyle w:val="null3"/>
                    <w:ind w:left="-45" w:right="-45"/>
                    <w:jc w:val="center"/>
                  </w:pPr>
                </w:p>
              </w:tc>
              <w:tc>
                <w:tcPr>
                  <w:tcW w:type="dxa" w:w="16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常用</w:t>
                  </w:r>
                  <w:r>
                    <w:rPr>
                      <w:rFonts w:ascii="仿宋_GB2312" w:hAnsi="仿宋_GB2312" w:cs="仿宋_GB2312" w:eastAsia="仿宋_GB2312"/>
                      <w:sz w:val="24"/>
                    </w:rPr>
                    <w:t>250kw/备用300KW</w:t>
                  </w:r>
                </w:p>
                <w:p>
                  <w:pPr>
                    <w:pStyle w:val="null3"/>
                    <w:ind w:left="-45" w:right="-45"/>
                    <w:jc w:val="center"/>
                  </w:pPr>
                </w:p>
              </w:tc>
              <w:tc>
                <w:tcPr>
                  <w:tcW w:type="dxa" w:w="1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台</w:t>
                  </w:r>
                </w:p>
                <w:p>
                  <w:pPr>
                    <w:pStyle w:val="null3"/>
                    <w:ind w:left="-45" w:right="-45"/>
                    <w:jc w:val="center"/>
                  </w:pPr>
                </w:p>
              </w:tc>
              <w:tc>
                <w:tcPr>
                  <w:tcW w:type="dxa" w:w="9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p>
                <w:p>
                  <w:pPr>
                    <w:pStyle w:val="null3"/>
                    <w:ind w:left="-45" w:right="-45"/>
                    <w:jc w:val="center"/>
                  </w:pPr>
                </w:p>
              </w:tc>
              <w:tc>
                <w:tcPr>
                  <w:tcW w:type="dxa" w:w="118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4"/>
                    </w:rPr>
                    <w:t>1.名称:柴油发电机组(自动化启动)</w:t>
                  </w:r>
                </w:p>
                <w:p>
                  <w:pPr>
                    <w:pStyle w:val="null3"/>
                    <w:ind w:left="-45" w:right="-45"/>
                    <w:jc w:val="left"/>
                  </w:pPr>
                  <w:r>
                    <w:rPr>
                      <w:rFonts w:ascii="仿宋_GB2312" w:hAnsi="仿宋_GB2312" w:cs="仿宋_GB2312" w:eastAsia="仿宋_GB2312"/>
                      <w:sz w:val="24"/>
                    </w:rPr>
                    <w:t>2.包工包料，含柴油发电机组设备、控制系统、油箱、备品备件、发电机防雷接地相关工程、通气管(包括机械补风)、燃油管、储油间防静电接地、管道、电缆及配套管件等。</w:t>
                  </w:r>
                </w:p>
                <w:p>
                  <w:pPr>
                    <w:pStyle w:val="null3"/>
                    <w:ind w:left="-45" w:right="-45"/>
                    <w:jc w:val="left"/>
                  </w:pPr>
                  <w:r>
                    <w:rPr>
                      <w:rFonts w:ascii="仿宋_GB2312" w:hAnsi="仿宋_GB2312" w:cs="仿宋_GB2312" w:eastAsia="仿宋_GB2312"/>
                      <w:sz w:val="24"/>
                    </w:rPr>
                    <w:t>3.含发电机降噪、减震，包括但不限于减震基础、减震降噪装置、进/出风道降噪处理</w:t>
                  </w:r>
                  <w:r>
                    <w:rPr>
                      <w:rFonts w:ascii="仿宋_GB2312" w:hAnsi="仿宋_GB2312" w:cs="仿宋_GB2312" w:eastAsia="仿宋_GB2312"/>
                      <w:sz w:val="24"/>
                    </w:rPr>
                    <w:t>、墙体开孔及恢复</w:t>
                  </w:r>
                  <w:r>
                    <w:rPr>
                      <w:rFonts w:ascii="仿宋_GB2312" w:hAnsi="仿宋_GB2312" w:cs="仿宋_GB2312" w:eastAsia="仿宋_GB2312"/>
                      <w:sz w:val="24"/>
                    </w:rPr>
                    <w:t>等，应满足政府及相关部门标准并通过验收，以上内容由投标人综合考虑报价，单价均按此执行，后期结算不予调整</w:t>
                  </w:r>
                </w:p>
                <w:p>
                  <w:pPr>
                    <w:pStyle w:val="null3"/>
                    <w:ind w:left="-45" w:right="-45"/>
                    <w:jc w:val="left"/>
                  </w:pPr>
                  <w:r>
                    <w:rPr>
                      <w:rFonts w:ascii="仿宋_GB2312" w:hAnsi="仿宋_GB2312" w:cs="仿宋_GB2312" w:eastAsia="仿宋_GB2312"/>
                      <w:sz w:val="24"/>
                    </w:rPr>
                    <w:t>4.含发电机全套控制系统，预留与其它控制系统(如电力监控系统、BA系统)的通讯接口、模块</w:t>
                  </w:r>
                </w:p>
                <w:p>
                  <w:pPr>
                    <w:pStyle w:val="null3"/>
                    <w:ind w:left="-45" w:right="-45"/>
                    <w:jc w:val="left"/>
                  </w:pPr>
                  <w:r>
                    <w:rPr>
                      <w:rFonts w:ascii="仿宋_GB2312" w:hAnsi="仿宋_GB2312" w:cs="仿宋_GB2312" w:eastAsia="仿宋_GB2312"/>
                      <w:sz w:val="24"/>
                    </w:rPr>
                    <w:t>5.含发电机及配套系统的调试、试运行</w:t>
                  </w:r>
                </w:p>
                <w:p>
                  <w:pPr>
                    <w:pStyle w:val="null3"/>
                    <w:ind w:left="-45" w:right="-45"/>
                    <w:jc w:val="left"/>
                  </w:pPr>
                  <w:r>
                    <w:rPr>
                      <w:rFonts w:ascii="仿宋_GB2312" w:hAnsi="仿宋_GB2312" w:cs="仿宋_GB2312" w:eastAsia="仿宋_GB2312"/>
                      <w:sz w:val="24"/>
                    </w:rPr>
                    <w:t>6.所有措施费</w:t>
                  </w:r>
                  <w:r>
                    <w:rPr>
                      <w:rFonts w:ascii="仿宋_GB2312" w:hAnsi="仿宋_GB2312" w:cs="仿宋_GB2312" w:eastAsia="仿宋_GB2312"/>
                      <w:sz w:val="24"/>
                    </w:rPr>
                    <w:t>、施工费、运输搬运费</w:t>
                  </w:r>
                  <w:r>
                    <w:rPr>
                      <w:rFonts w:ascii="仿宋_GB2312" w:hAnsi="仿宋_GB2312" w:cs="仿宋_GB2312" w:eastAsia="仿宋_GB2312"/>
                      <w:sz w:val="24"/>
                    </w:rPr>
                    <w:t>用及验收费用需综合考虑报价，清单不再单独列项</w:t>
                  </w:r>
                </w:p>
                <w:p>
                  <w:pPr>
                    <w:pStyle w:val="null3"/>
                    <w:ind w:left="-45" w:right="-45"/>
                    <w:jc w:val="left"/>
                  </w:pPr>
                  <w:r>
                    <w:rPr>
                      <w:rFonts w:ascii="仿宋_GB2312" w:hAnsi="仿宋_GB2312" w:cs="仿宋_GB2312" w:eastAsia="仿宋_GB2312"/>
                      <w:sz w:val="24"/>
                    </w:rPr>
                    <w:t>7.满足施工规范及技术要求</w:t>
                  </w:r>
                </w:p>
              </w:tc>
            </w:tr>
          </w:tbl>
          <w:p>
            <w:pPr>
              <w:pStyle w:val="null3"/>
              <w:ind w:firstLine="482"/>
              <w:jc w:val="center"/>
            </w:pPr>
            <w:r>
              <w:rPr>
                <w:rFonts w:ascii="仿宋_GB2312" w:hAnsi="仿宋_GB2312" w:cs="仿宋_GB2312" w:eastAsia="仿宋_GB2312"/>
                <w:sz w:val="24"/>
                <w:b/>
              </w:rPr>
              <w:t>2.技术性</w:t>
            </w:r>
            <w:r>
              <w:rPr>
                <w:rFonts w:ascii="仿宋_GB2312" w:hAnsi="仿宋_GB2312" w:cs="仿宋_GB2312" w:eastAsia="仿宋_GB2312"/>
                <w:sz w:val="24"/>
                <w:b/>
              </w:rPr>
              <w:t>规格书</w:t>
            </w:r>
          </w:p>
          <w:p>
            <w:pPr>
              <w:pStyle w:val="null3"/>
              <w:spacing w:after="120"/>
              <w:jc w:val="center"/>
            </w:pPr>
            <w:r>
              <w:rPr>
                <w:rFonts w:ascii="仿宋_GB2312" w:hAnsi="仿宋_GB2312" w:cs="仿宋_GB2312" w:eastAsia="仿宋_GB2312"/>
                <w:sz w:val="24"/>
                <w:b/>
              </w:rPr>
              <w:t>（</w:t>
            </w:r>
            <w:r>
              <w:rPr>
                <w:rFonts w:ascii="仿宋_GB2312" w:hAnsi="仿宋_GB2312" w:cs="仿宋_GB2312" w:eastAsia="仿宋_GB2312"/>
                <w:sz w:val="24"/>
                <w:b/>
              </w:rPr>
              <w:t>1）250KW柴油发电机组</w:t>
            </w:r>
          </w:p>
          <w:tbl>
            <w:tblPr>
              <w:tblBorders>
                <w:top w:val="none" w:color="000000" w:sz="4"/>
                <w:left w:val="none" w:color="000000" w:sz="4"/>
                <w:bottom w:val="none" w:color="000000" w:sz="4"/>
                <w:right w:val="none" w:color="000000" w:sz="4"/>
                <w:insideH w:val="none"/>
                <w:insideV w:val="none"/>
              </w:tblBorders>
            </w:tblPr>
            <w:tblGrid>
              <w:gridCol w:w="168"/>
              <w:gridCol w:w="543"/>
              <w:gridCol w:w="894"/>
              <w:gridCol w:w="255"/>
            </w:tblGrid>
            <w:tr>
              <w:tc>
                <w:tcPr>
                  <w:tcW w:type="dxa" w:w="16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序号</w:t>
                  </w:r>
                </w:p>
              </w:tc>
              <w:tc>
                <w:tcPr>
                  <w:tcW w:type="dxa" w:w="54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技术参数</w:t>
                  </w:r>
                </w:p>
              </w:tc>
              <w:tc>
                <w:tcPr>
                  <w:tcW w:type="dxa" w:w="89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技术要求</w:t>
                  </w:r>
                </w:p>
              </w:tc>
              <w:tc>
                <w:tcPr>
                  <w:tcW w:type="dxa" w:w="25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备注</w:t>
                  </w: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发电机组类型</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全自动化柴油发电机组</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发电机组额定功率</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主用</w:t>
                  </w:r>
                  <w:r>
                    <w:rPr>
                      <w:rFonts w:ascii="仿宋_GB2312" w:hAnsi="仿宋_GB2312" w:cs="仿宋_GB2312" w:eastAsia="仿宋_GB2312"/>
                      <w:sz w:val="24"/>
                    </w:rPr>
                    <w:t>≥250KW备用≥300</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常用功率</w:t>
                  </w: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额定电压（</w:t>
                  </w:r>
                  <w:r>
                    <w:rPr>
                      <w:rFonts w:ascii="仿宋_GB2312" w:hAnsi="仿宋_GB2312" w:cs="仿宋_GB2312" w:eastAsia="仿宋_GB2312"/>
                      <w:sz w:val="24"/>
                    </w:rPr>
                    <w:t>V）</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400V/230V</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功率因数</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0.8滞后</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频率</w:t>
                  </w:r>
                  <w:r>
                    <w:rPr>
                      <w:rFonts w:ascii="仿宋_GB2312" w:hAnsi="仿宋_GB2312" w:cs="仿宋_GB2312" w:eastAsia="仿宋_GB2312"/>
                      <w:sz w:val="24"/>
                    </w:rPr>
                    <w:t>(Hz)</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烟度等级</w:t>
                  </w:r>
                  <w:r>
                    <w:rPr>
                      <w:rFonts w:ascii="仿宋_GB2312" w:hAnsi="仿宋_GB2312" w:cs="仿宋_GB2312" w:eastAsia="仿宋_GB2312"/>
                      <w:sz w:val="24"/>
                    </w:rPr>
                    <w:t>（林格曼）</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一级</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运行方式</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不间断运行</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启动方式</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自动</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质量保证合格认证</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产品质量监督检验合格认证或国家监督检验合格认证</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执行标准</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GB/T 2820.5-2009</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国际标准</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ISO 8528:5-2005</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使用环境</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空气湿度</w:t>
                  </w:r>
                  <w:r>
                    <w:rPr>
                      <w:rFonts w:ascii="仿宋_GB2312" w:hAnsi="仿宋_GB2312" w:cs="仿宋_GB2312" w:eastAsia="仿宋_GB2312"/>
                      <w:sz w:val="24"/>
                    </w:rPr>
                    <w:t>≤90%，温度﹣15℃—</w:t>
                  </w:r>
                  <w:r>
                    <w:rPr>
                      <w:rFonts w:ascii="仿宋_GB2312" w:hAnsi="仿宋_GB2312" w:cs="仿宋_GB2312" w:eastAsia="仿宋_GB2312"/>
                      <w:sz w:val="24"/>
                    </w:rPr>
                    <w:t>50</w:t>
                  </w:r>
                  <w:r>
                    <w:rPr>
                      <w:rFonts w:ascii="仿宋_GB2312" w:hAnsi="仿宋_GB2312" w:cs="仿宋_GB2312" w:eastAsia="仿宋_GB2312"/>
                      <w:sz w:val="24"/>
                    </w:rPr>
                    <w:t>℃，海拔高度≤1000米</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调压方式</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AVR自动调压</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r>
                    <w:rPr>
                      <w:rFonts w:ascii="仿宋_GB2312" w:hAnsi="仿宋_GB2312" w:cs="仿宋_GB2312" w:eastAsia="仿宋_GB2312"/>
                      <w:sz w:val="24"/>
                    </w:rPr>
                    <w:t>4</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柴油发动机</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9"/>
                    </w:rPr>
                    <w:t xml:space="preserve"> </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r>
                    <w:rPr>
                      <w:rFonts w:ascii="仿宋_GB2312" w:hAnsi="仿宋_GB2312" w:cs="仿宋_GB2312" w:eastAsia="仿宋_GB2312"/>
                      <w:sz w:val="24"/>
                    </w:rPr>
                    <w:t>5</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发动机主用功率</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≥308KW</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16</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交流发电机</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无刷自励磁方式，全铜</w:t>
                  </w:r>
                  <w:r>
                    <w:rPr>
                      <w:rFonts w:ascii="仿宋_GB2312" w:hAnsi="仿宋_GB2312" w:cs="仿宋_GB2312" w:eastAsia="仿宋_GB2312"/>
                      <w:sz w:val="24"/>
                    </w:rPr>
                    <w:t>.强厉倍数不低于2倍.</w:t>
                  </w:r>
                  <w:r>
                    <w:rPr>
                      <w:rFonts w:ascii="仿宋_GB2312" w:hAnsi="仿宋_GB2312" w:cs="仿宋_GB2312" w:eastAsia="仿宋_GB2312"/>
                      <w:sz w:val="24"/>
                    </w:rPr>
                    <w:t>利来森马、</w:t>
                  </w:r>
                  <w:r>
                    <w:rPr>
                      <w:rFonts w:ascii="仿宋_GB2312" w:hAnsi="仿宋_GB2312" w:cs="仿宋_GB2312" w:eastAsia="仿宋_GB2312"/>
                      <w:sz w:val="24"/>
                    </w:rPr>
                    <w:t>斯坦福等同等品牌</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交流发电机额定功率</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≥250KW</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18</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稳态电压调整率</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优于正负</w:t>
                  </w:r>
                  <w:r>
                    <w:rPr>
                      <w:rFonts w:ascii="仿宋_GB2312" w:hAnsi="仿宋_GB2312" w:cs="仿宋_GB2312" w:eastAsia="仿宋_GB2312"/>
                      <w:sz w:val="24"/>
                    </w:rPr>
                    <w:t>1%</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r>
                    <w:rPr>
                      <w:rFonts w:ascii="仿宋_GB2312" w:hAnsi="仿宋_GB2312" w:cs="仿宋_GB2312" w:eastAsia="仿宋_GB2312"/>
                      <w:sz w:val="24"/>
                    </w:rPr>
                    <w:t>9</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调压方式</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w:t>
                  </w:r>
                  <w:r>
                    <w:rPr>
                      <w:rFonts w:ascii="仿宋_GB2312" w:hAnsi="仿宋_GB2312" w:cs="仿宋_GB2312" w:eastAsia="仿宋_GB2312"/>
                      <w:sz w:val="24"/>
                    </w:rPr>
                    <w:t>AVR）自动电压调节</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20</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绝缘等级</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H级</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21</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过载能力</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1.5倍额定电流历时1分钟</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22</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防护等级</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不低于</w:t>
                  </w:r>
                  <w:r>
                    <w:rPr>
                      <w:rFonts w:ascii="仿宋_GB2312" w:hAnsi="仿宋_GB2312" w:cs="仿宋_GB2312" w:eastAsia="仿宋_GB2312"/>
                      <w:sz w:val="24"/>
                    </w:rPr>
                    <w:t>IP</w:t>
                  </w:r>
                  <w:r>
                    <w:rPr>
                      <w:rFonts w:ascii="仿宋_GB2312" w:hAnsi="仿宋_GB2312" w:cs="仿宋_GB2312" w:eastAsia="仿宋_GB2312"/>
                      <w:sz w:val="24"/>
                    </w:rPr>
                    <w:t>43</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3</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控制系统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控制器，能显示电流、电压、频率、水温、油温、油压、转速等，具有低油压、超速、高水温、过电流等各项异常情况报警、跳闸、保护停机、紧急停车等保护功能</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4</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冷却系统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原配原装水箱（非配套厂产品）</w:t>
                  </w:r>
                  <w:r>
                    <w:rPr>
                      <w:rFonts w:ascii="仿宋_GB2312" w:hAnsi="仿宋_GB2312" w:cs="仿宋_GB2312" w:eastAsia="仿宋_GB2312"/>
                      <w:sz w:val="24"/>
                    </w:rPr>
                    <w:t>温度＞</w:t>
                  </w:r>
                  <w:r>
                    <w:rPr>
                      <w:rFonts w:ascii="仿宋_GB2312" w:hAnsi="仿宋_GB2312" w:cs="仿宋_GB2312" w:eastAsia="仿宋_GB2312"/>
                      <w:sz w:val="24"/>
                    </w:rPr>
                    <w:t>50°</w:t>
                  </w:r>
                  <w:r>
                    <w:rPr>
                      <w:rFonts w:ascii="仿宋_GB2312" w:hAnsi="仿宋_GB2312" w:cs="仿宋_GB2312" w:eastAsia="仿宋_GB2312"/>
                      <w:sz w:val="24"/>
                    </w:rPr>
                    <w:t>包括：补水箱、水冷器、空气中冷器（空气中冷系统有）、冷却水温度自动调节器、输水泵、机本体外电磁阀、冷却水予热、予供装置、冷却水管道、空气滤消器、风机、法兰及紧固件等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5</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燃油系统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包括日用防暴油箱，注明容积、尺寸、材质等，满足</w:t>
                  </w:r>
                  <w:r>
                    <w:rPr>
                      <w:rFonts w:ascii="仿宋_GB2312" w:hAnsi="仿宋_GB2312" w:cs="仿宋_GB2312" w:eastAsia="仿宋_GB2312"/>
                      <w:sz w:val="24"/>
                      <w:b/>
                    </w:rPr>
                    <w:t>满负荷运转不小于</w:t>
                  </w:r>
                  <w:r>
                    <w:rPr>
                      <w:rFonts w:ascii="仿宋_GB2312" w:hAnsi="仿宋_GB2312" w:cs="仿宋_GB2312" w:eastAsia="仿宋_GB2312"/>
                      <w:sz w:val="24"/>
                      <w:b/>
                    </w:rPr>
                    <w:t>12小时.</w:t>
                  </w:r>
                  <w:r>
                    <w:rPr>
                      <w:rFonts w:ascii="仿宋_GB2312" w:hAnsi="仿宋_GB2312" w:cs="仿宋_GB2312" w:eastAsia="仿宋_GB2312"/>
                      <w:sz w:val="24"/>
                    </w:rPr>
                    <w:t>包含</w:t>
                  </w:r>
                  <w:r>
                    <w:rPr>
                      <w:rFonts w:ascii="仿宋_GB2312" w:hAnsi="仿宋_GB2312" w:cs="仿宋_GB2312" w:eastAsia="仿宋_GB2312"/>
                      <w:sz w:val="24"/>
                    </w:rPr>
                    <w:t>：</w:t>
                  </w:r>
                  <w:r>
                    <w:rPr>
                      <w:rFonts w:ascii="仿宋_GB2312" w:hAnsi="仿宋_GB2312" w:cs="仿宋_GB2312" w:eastAsia="仿宋_GB2312"/>
                      <w:sz w:val="24"/>
                    </w:rPr>
                    <w:t>油箱管路</w:t>
                  </w:r>
                  <w:r>
                    <w:rPr>
                      <w:rFonts w:ascii="仿宋_GB2312" w:hAnsi="仿宋_GB2312" w:cs="仿宋_GB2312" w:eastAsia="仿宋_GB2312"/>
                      <w:sz w:val="24"/>
                    </w:rPr>
                    <w:t>.呼吸阀等全套施工.</w:t>
                  </w:r>
                  <w:r>
                    <w:rPr>
                      <w:rFonts w:ascii="仿宋_GB2312" w:hAnsi="仿宋_GB2312" w:cs="仿宋_GB2312" w:eastAsia="仿宋_GB2312"/>
                      <w:sz w:val="21"/>
                    </w:rPr>
                    <w:t xml:space="preserve"> </w:t>
                  </w:r>
                  <w:r>
                    <w:rPr>
                      <w:rFonts w:ascii="仿宋_GB2312" w:hAnsi="仿宋_GB2312" w:cs="仿宋_GB2312" w:eastAsia="仿宋_GB2312"/>
                      <w:sz w:val="24"/>
                    </w:rPr>
                    <w:t>自动</w:t>
                  </w:r>
                  <w:r>
                    <w:rPr>
                      <w:rFonts w:ascii="仿宋_GB2312" w:hAnsi="仿宋_GB2312" w:cs="仿宋_GB2312" w:eastAsia="仿宋_GB2312"/>
                      <w:sz w:val="24"/>
                    </w:rPr>
                    <w:t>油泵、油箱指示和自动控制装置、燃油输送管道、机本体外电磁阀、燃油予供装置、法兰、紧固件、支架、接头、油路安装</w:t>
                  </w:r>
                  <w:r>
                    <w:rPr>
                      <w:rFonts w:ascii="仿宋_GB2312" w:hAnsi="仿宋_GB2312" w:cs="仿宋_GB2312" w:eastAsia="仿宋_GB2312"/>
                      <w:sz w:val="24"/>
                    </w:rPr>
                    <w:t>.呼吸阀附件等。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6</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底座</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钢制底座，内置油箱，</w:t>
                  </w:r>
                  <w:r>
                    <w:rPr>
                      <w:rFonts w:ascii="仿宋_GB2312" w:hAnsi="仿宋_GB2312" w:cs="仿宋_GB2312" w:eastAsia="仿宋_GB2312"/>
                      <w:sz w:val="24"/>
                      <w:b/>
                    </w:rPr>
                    <w:t>钢板厚度不小于</w:t>
                  </w:r>
                  <w:r>
                    <w:rPr>
                      <w:rFonts w:ascii="仿宋_GB2312" w:hAnsi="仿宋_GB2312" w:cs="仿宋_GB2312" w:eastAsia="仿宋_GB2312"/>
                      <w:sz w:val="24"/>
                      <w:b/>
                    </w:rPr>
                    <w:t>5mm</w:t>
                  </w:r>
                  <w:r>
                    <w:rPr>
                      <w:rFonts w:ascii="仿宋_GB2312" w:hAnsi="仿宋_GB2312" w:cs="仿宋_GB2312" w:eastAsia="仿宋_GB2312"/>
                      <w:sz w:val="24"/>
                    </w:rPr>
                    <w:t>，机组与底座间装有减振橡胶垫</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7</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机油</w:t>
                  </w:r>
                  <w:r>
                    <w:rPr>
                      <w:rFonts w:ascii="仿宋_GB2312" w:hAnsi="仿宋_GB2312" w:cs="仿宋_GB2312" w:eastAsia="仿宋_GB2312"/>
                      <w:sz w:val="24"/>
                    </w:rPr>
                    <w:t>.防冻液</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机器原装厂家配套</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r>
                    <w:rPr>
                      <w:rFonts w:ascii="仿宋_GB2312" w:hAnsi="仿宋_GB2312" w:cs="仿宋_GB2312" w:eastAsia="仿宋_GB2312"/>
                      <w:sz w:val="24"/>
                    </w:rPr>
                    <w:t>8</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柴油机启动系统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包括：蓄电池（</w:t>
                  </w:r>
                  <w:r>
                    <w:rPr>
                      <w:rFonts w:ascii="仿宋_GB2312" w:hAnsi="仿宋_GB2312" w:cs="仿宋_GB2312" w:eastAsia="仿宋_GB2312"/>
                      <w:sz w:val="24"/>
                    </w:rPr>
                    <w:t>DC24V）、双速充电装置等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29</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柴油机排气系统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包括：排气管、消音器、膨胀节、排烟管道集油器、法兰、进风阀、排风阀、进排风降噪、包扎及紧固件等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ATS</w:t>
                  </w:r>
                  <w:r>
                    <w:rPr>
                      <w:rFonts w:ascii="仿宋_GB2312" w:hAnsi="仿宋_GB2312" w:cs="仿宋_GB2312" w:eastAsia="仿宋_GB2312"/>
                      <w:sz w:val="24"/>
                    </w:rPr>
                    <w:t>双电源自动转换系统</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市电</w:t>
                  </w:r>
                  <w:r>
                    <w:rPr>
                      <w:rFonts w:ascii="仿宋_GB2312" w:hAnsi="仿宋_GB2312" w:cs="仿宋_GB2312" w:eastAsia="仿宋_GB2312"/>
                      <w:sz w:val="24"/>
                    </w:rPr>
                    <w:t>-发电机组切换时间≤10秒。</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31</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柴油机出口断路器柜</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包括：出口断路器、断路器母线、电流互感器、电压互感器、柜体设备等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9"/>
                    </w:rPr>
                    <w:t xml:space="preserve"> </w:t>
                  </w: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32</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电缆线型号</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国标矿物绝缘</w:t>
                  </w:r>
                  <w:r>
                    <w:rPr>
                      <w:rFonts w:ascii="仿宋_GB2312" w:hAnsi="仿宋_GB2312" w:cs="仿宋_GB2312" w:eastAsia="仿宋_GB2312"/>
                      <w:sz w:val="24"/>
                    </w:rPr>
                    <w:t>电缆</w:t>
                  </w:r>
                </w:p>
                <w:p>
                  <w:pPr>
                    <w:pStyle w:val="null3"/>
                    <w:jc w:val="center"/>
                  </w:pPr>
                  <w:r>
                    <w:rPr>
                      <w:rFonts w:ascii="仿宋_GB2312" w:hAnsi="仿宋_GB2312" w:cs="仿宋_GB2312" w:eastAsia="仿宋_GB2312"/>
                      <w:sz w:val="24"/>
                    </w:rPr>
                    <w:t>NG-A-3*240+1*120</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33</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调试柴油</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100L国标#-0</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34</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土建施工</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详见工程量清单及现场情况（包含</w:t>
                  </w:r>
                  <w:r>
                    <w:rPr>
                      <w:rFonts w:ascii="仿宋_GB2312" w:hAnsi="仿宋_GB2312" w:cs="仿宋_GB2312" w:eastAsia="仿宋_GB2312"/>
                      <w:sz w:val="24"/>
                    </w:rPr>
                    <w:t>但不限于</w:t>
                  </w:r>
                  <w:r>
                    <w:rPr>
                      <w:rFonts w:ascii="仿宋_GB2312" w:hAnsi="仿宋_GB2312" w:cs="仿宋_GB2312" w:eastAsia="仿宋_GB2312"/>
                      <w:sz w:val="24"/>
                    </w:rPr>
                    <w:t>基础、墙体开洞恢复等）</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16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35</w:t>
                  </w:r>
                </w:p>
              </w:tc>
              <w:tc>
                <w:tcPr>
                  <w:tcW w:type="dxa" w:w="54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桥架电缆施工</w:t>
                  </w:r>
                </w:p>
              </w:tc>
              <w:tc>
                <w:tcPr>
                  <w:tcW w:type="dxa" w:w="89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rPr>
                      <w:rFonts w:ascii="仿宋_GB2312" w:hAnsi="仿宋_GB2312" w:cs="仿宋_GB2312" w:eastAsia="仿宋_GB2312"/>
                      <w:sz w:val="24"/>
                    </w:rPr>
                    <w:t>详见工程量清单及现场情况</w:t>
                  </w:r>
                </w:p>
              </w:tc>
              <w:tc>
                <w:tcPr>
                  <w:tcW w:type="dxa" w:w="25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tc>
      </w:tr>
    </w:tbl>
    <w:p>
      <w:pPr>
        <w:pStyle w:val="null3"/>
      </w:pPr>
      <w:r>
        <w:rPr>
          <w:rFonts w:ascii="仿宋_GB2312" w:hAnsi="仿宋_GB2312" w:cs="仿宋_GB2312" w:eastAsia="仿宋_GB2312"/>
        </w:rPr>
        <w:t>二、供应商针对本项目的施工，必须达到国家及行业现行技术规范标准，符合国家及行业验收合格标准：</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（1）符合国家及行业现行技术规范标准要求 （2）合同履行期限：自合同签订后60个日历日内交付完成 （3）质量保修范围和保修期：1.质保期符合国家标准要求。成交人承诺的质保时间超过国家标准要求的，按其承诺时间质保。 2.工程质量等级达到合格或以上标准。 3.成交人承诺的质保期起始时间为终验合格之日。 4.成交人应遵照国家规范规定的建筑工程施工质量标准及要求作出明确承诺。 5.在质量保证期内，成交人应具有良好、迅速的售后服务能力。 6.缺陷责任期：2年 7.本项目暂列金3.00万元计入土建配套工程内； 8.垃圾外运暂按运距10km考虑；</w:t>
      </w:r>
    </w:p>
    <w:p>
      <w:pPr>
        <w:pStyle w:val="null3"/>
        <w:ind w:firstLine="480"/>
      </w:pPr>
      <w:r>
        <w:rPr>
          <w:rFonts w:ascii="仿宋_GB2312" w:hAnsi="仿宋_GB2312" w:cs="仿宋_GB2312" w:eastAsia="仿宋_GB2312"/>
        </w:rPr>
        <w:t>三、针对本项目的其他技术服务要求：</w:t>
      </w:r>
    </w:p>
    <w:p>
      <w:pPr>
        <w:pStyle w:val="null3"/>
      </w:pPr>
      <w:r>
        <w:rPr>
          <w:rFonts w:ascii="仿宋_GB2312" w:hAnsi="仿宋_GB2312" w:cs="仿宋_GB2312" w:eastAsia="仿宋_GB2312"/>
        </w:rPr>
        <w:t>符合国家及行业要求</w:t>
      </w:r>
    </w:p>
    <w:p>
      <w:pPr>
        <w:pStyle w:val="null3"/>
        <w:ind w:firstLine="480"/>
      </w:pPr>
      <w:r>
        <w:rPr>
          <w:rFonts w:ascii="仿宋_GB2312" w:hAnsi="仿宋_GB2312" w:cs="仿宋_GB2312" w:eastAsia="仿宋_GB2312"/>
        </w:rPr>
        <w:t>四、工程量清单（详见附件）</w:t>
      </w:r>
    </w:p>
    <w:p>
      <w:pPr>
        <w:pStyle w:val="null3"/>
        <w:ind w:firstLine="480"/>
      </w:pPr>
      <w:r>
        <w:rPr>
          <w:rFonts w:ascii="仿宋_GB2312" w:hAnsi="仿宋_GB2312" w:cs="仿宋_GB2312" w:eastAsia="仿宋_GB2312"/>
        </w:rPr>
        <w:t xml:space="preserve"> （说明：工程量清单应当结合《政府采购需求管理办法》（财库〔2021〕22号）第六条第二款规定，明确相关性能、材料、结构、外观、安全、标准等。）</w:t>
      </w:r>
    </w:p>
    <w:p>
      <w:pPr>
        <w:pStyle w:val="null3"/>
        <w:outlineLvl w:val="2"/>
      </w:pPr>
      <w:r>
        <w:rPr>
          <w:rFonts w:ascii="仿宋_GB2312" w:hAnsi="仿宋_GB2312" w:cs="仿宋_GB2312" w:eastAsia="仿宋_GB2312"/>
          <w:sz w:val="28"/>
          <w:b/>
        </w:rPr>
        <w:t>3.2商务要求（说明：由采购人依据项目具体需求制定）</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序号</w:t>
            </w:r>
          </w:p>
        </w:tc>
        <w:tc>
          <w:tcPr>
            <w:tcW w:type="dxa" w:w="2769"/>
          </w:tcPr>
          <w:p>
            <w:pPr>
              <w:pStyle w:val="null3"/>
            </w:pPr>
            <w:r>
              <w:rPr>
                <w:rFonts w:ascii="仿宋_GB2312" w:hAnsi="仿宋_GB2312" w:cs="仿宋_GB2312" w:eastAsia="仿宋_GB2312"/>
              </w:rPr>
              <w:t>项目</w:t>
            </w:r>
          </w:p>
        </w:tc>
        <w:tc>
          <w:tcPr>
            <w:tcW w:type="dxa" w:w="2769"/>
          </w:tcPr>
          <w:p>
            <w:pPr>
              <w:pStyle w:val="null3"/>
            </w:pPr>
            <w:r>
              <w:rPr>
                <w:rFonts w:ascii="仿宋_GB2312" w:hAnsi="仿宋_GB2312" w:cs="仿宋_GB2312" w:eastAsia="仿宋_GB2312"/>
              </w:rPr>
              <w:t>要求</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项目负责人（项目经理）</w:t>
            </w:r>
          </w:p>
        </w:tc>
        <w:tc>
          <w:tcPr>
            <w:tcW w:type="dxa" w:w="2769"/>
          </w:tcPr>
          <w:p>
            <w:pPr>
              <w:pStyle w:val="null3"/>
            </w:pPr>
            <w:r>
              <w:rPr>
                <w:rFonts w:ascii="仿宋_GB2312" w:hAnsi="仿宋_GB2312" w:cs="仿宋_GB2312" w:eastAsia="仿宋_GB2312"/>
              </w:rPr>
              <w:t>具体要求详见资格审查条款</w:t>
            </w:r>
          </w:p>
        </w:tc>
      </w:tr>
    </w:tbl>
    <w:p>
      <w:pPr>
        <w:pStyle w:val="null3"/>
        <w:outlineLvl w:val="3"/>
      </w:pPr>
      <w:r>
        <w:rPr>
          <w:rFonts w:ascii="仿宋_GB2312" w:hAnsi="仿宋_GB2312" w:cs="仿宋_GB2312" w:eastAsia="仿宋_GB2312"/>
          <w:sz w:val="24"/>
          <w:b/>
        </w:rPr>
        <w:t>说明：</w:t>
      </w:r>
    </w:p>
    <w:p>
      <w:pPr>
        <w:pStyle w:val="null3"/>
        <w:ind w:firstLine="480"/>
      </w:pPr>
      <w:r>
        <w:rPr>
          <w:rFonts w:ascii="仿宋_GB2312" w:hAnsi="仿宋_GB2312" w:cs="仿宋_GB2312" w:eastAsia="仿宋_GB2312"/>
        </w:rPr>
        <w:t>1.对于不允许偏离的实质性要求和条件，采购人或者代理机构应当在磋商文件中规定，并以醒目的方式标明。</w:t>
      </w:r>
    </w:p>
    <w:p>
      <w:pPr>
        <w:pStyle w:val="null3"/>
        <w:ind w:firstLine="480"/>
      </w:pPr>
      <w:r>
        <w:rPr>
          <w:rFonts w:ascii="仿宋_GB2312" w:hAnsi="仿宋_GB2312" w:cs="仿宋_GB2312" w:eastAsia="仿宋_GB2312"/>
        </w:rPr>
        <w:t xml:space="preserve"> 2.除相关法律或行政法规或规章要求供应商在响应或磋商阶段提供检测报告的，不得要求供应商在响应、磋商阶段提供检测报告，如确实需要检测报告，可要求供应商承诺在签订合同阶段或项目实施阶段提供。</w:t>
      </w:r>
    </w:p>
    <w:p>
      <w:pPr>
        <w:pStyle w:val="null3"/>
        <w:ind w:firstLine="480"/>
      </w:pPr>
      <w:r>
        <w:rPr>
          <w:rFonts w:ascii="仿宋_GB2312" w:hAnsi="仿宋_GB2312" w:cs="仿宋_GB2312" w:eastAsia="仿宋_GB2312"/>
        </w:rPr>
        <w:t xml:space="preserve"> 3.若要求供应商提供相关人员的职业资格的，不得要求提供除现行《国家职业资格目录》以外的职业资格，不得以不合理条件对供应商实行差别待遇或者歧视性待遇。</w:t>
      </w:r>
    </w:p>
    <w:p>
      <w:pPr>
        <w:pStyle w:val="null3"/>
        <w:outlineLvl w:val="2"/>
      </w:pPr>
      <w:r>
        <w:rPr>
          <w:rFonts w:ascii="仿宋_GB2312" w:hAnsi="仿宋_GB2312" w:cs="仿宋_GB2312" w:eastAsia="仿宋_GB2312"/>
          <w:sz w:val="28"/>
          <w:b/>
        </w:rPr>
        <w:t>3.3其他要求</w:t>
      </w:r>
    </w:p>
    <w:p>
      <w:pPr>
        <w:pStyle w:val="null3"/>
      </w:pPr>
      <w:r>
        <w:rPr>
          <w:rFonts w:ascii="仿宋_GB2312" w:hAnsi="仿宋_GB2312" w:cs="仿宋_GB2312" w:eastAsia="仿宋_GB2312"/>
        </w:rPr>
        <w:t>1.成交人在领取成交通知书时提供一正两副纸质竞争性磋商响应文件。 装订：纸质竞争性磋商响应文件采用书籍（胶装）方式装订成册，与电子版文件一致的签字、盖章的完整版本，编制书脊（注明项目名称、项目编号）。 2.合同支付约定： 2.1签订合同后，采购方支付合同价款的40%，达到付款条件起10日内，支付合同总金额的40.00%。 2.2主要设备及材料到场经验收合格后，采购方支付合同价款的20%，达到付款条件起10日内，支付合同总金额的20.00%。 2.3项目完工经采购方组织验收合格后，支付合同价款的30%，达到付款条件起10日内，支付合同总金额的30.00%。 2.4同时进行采购合同结算，经采购部门审核后，按照双方确认的结算金额作为最终的合同价，一次性支付剩余款项（合同价款的10%）。以上付款前中标方都须按采购方要求提供等额发票，达到付款条件起10日内，支付合同总金额的10.00%。 3.违约责任与解决争议的方法：1.按《中华人民共和国民法典》中的相关条款执行。 2.未按合同要求提供工程质量或工程质量不能满足技术要求，采购人有权终止合同，并对供方违约行为进行追究，同时按《中华人民共和国政府采购法》的有关规定进行处罚。</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供应商需在项目电子化交易系统中按要求上传相应证明文件并进行电子签章，此项审查内容与特定资格条件中的“财务状况报告”为同一审查内容。</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供应商需在项目电子化交易系统中按要求上传相应证明文件并进行电子签章，比项审查内容与特定资格条件中的“控股关系查询”为同一审查内容。</w:t>
            </w:r>
          </w:p>
        </w:tc>
        <w:tc>
          <w:tcPr>
            <w:tcW w:type="dxa" w:w="1661"/>
          </w:tcPr>
          <w:p>
            <w:pPr>
              <w:pStyle w:val="null3"/>
            </w:pPr>
            <w:r>
              <w:rPr>
                <w:rFonts w:ascii="仿宋_GB2312" w:hAnsi="仿宋_GB2312" w:cs="仿宋_GB2312" w:eastAsia="仿宋_GB2312"/>
              </w:rPr>
              <w:t>资格审查证明文件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参与的供应商（联合体）工程的施工单位全部为符合政策要求的中小企业。</w:t>
            </w:r>
          </w:p>
        </w:tc>
        <w:tc>
          <w:tcPr>
            <w:tcW w:type="dxa" w:w="1661"/>
          </w:tcPr>
          <w:p>
            <w:pPr>
              <w:pStyle w:val="null3"/>
            </w:pPr>
            <w:r>
              <w:rPr>
                <w:rFonts w:ascii="仿宋_GB2312" w:hAnsi="仿宋_GB2312" w:cs="仿宋_GB2312" w:eastAsia="仿宋_GB2312"/>
              </w:rPr>
              <w:t>中小企业声明函 残疾人福利性单位声明函 资格审查证明文件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提供供应商合法注册的法人或者其他组织的营业执照等证明文件、自然人的身份证明</w:t>
            </w:r>
          </w:p>
        </w:tc>
        <w:tc>
          <w:tcPr>
            <w:tcW w:type="dxa" w:w="3322"/>
          </w:tcPr>
          <w:p>
            <w:pPr>
              <w:pStyle w:val="null3"/>
            </w:pPr>
            <w:r>
              <w:rPr>
                <w:rFonts w:ascii="仿宋_GB2312" w:hAnsi="仿宋_GB2312" w:cs="仿宋_GB2312" w:eastAsia="仿宋_GB2312"/>
              </w:rPr>
              <w:t>提供供应商合法注册的法人或者其他组织的营业执照等证明文件、自然人的身份证明。</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财务状况报告</w:t>
            </w:r>
          </w:p>
        </w:tc>
        <w:tc>
          <w:tcPr>
            <w:tcW w:type="dxa" w:w="3322"/>
          </w:tcPr>
          <w:p>
            <w:pPr>
              <w:pStyle w:val="null3"/>
            </w:pPr>
            <w:r>
              <w:rPr>
                <w:rFonts w:ascii="仿宋_GB2312" w:hAnsi="仿宋_GB2312" w:cs="仿宋_GB2312" w:eastAsia="仿宋_GB2312"/>
              </w:rPr>
              <w:t>财务状况报告：提供具有财务审计资质单位出具的合法有效的2023年度或2024年度财务报告（成立时间至开标时间不足一年的可提供成立后任意时段的资产负债表）或开标前六个月内其基本账户银行出具的资信证明或政府采购信用担保机构出具的担保函。</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税收缴纳证明：提供截止至开标时间前一年内任意一个月的缴纳凭据（增值税、企业所得税至少提供一种，依法免税的投标人应提供相关文件证明）。</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社会保障资金缴纳证明</w:t>
            </w:r>
          </w:p>
        </w:tc>
        <w:tc>
          <w:tcPr>
            <w:tcW w:type="dxa" w:w="3322"/>
          </w:tcPr>
          <w:p>
            <w:pPr>
              <w:pStyle w:val="null3"/>
            </w:pPr>
            <w:r>
              <w:rPr>
                <w:rFonts w:ascii="仿宋_GB2312" w:hAnsi="仿宋_GB2312" w:cs="仿宋_GB2312" w:eastAsia="仿宋_GB2312"/>
              </w:rPr>
              <w:t>社会保障资金缴纳证明：提供截止至开标时间前六个月内任意一个月的社保缴纳凭据或社保机构开具的社会保险参保缴纳情况证明（依法不需要缴纳社会保障资金的投标人应提供相关证明）。</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提供具有履行本合同所必需的设备和专业技术能力的说明及承诺</w:t>
            </w:r>
          </w:p>
        </w:tc>
        <w:tc>
          <w:tcPr>
            <w:tcW w:type="dxa" w:w="3322"/>
          </w:tcPr>
          <w:p>
            <w:pPr>
              <w:pStyle w:val="null3"/>
            </w:pPr>
            <w:r>
              <w:rPr>
                <w:rFonts w:ascii="仿宋_GB2312" w:hAnsi="仿宋_GB2312" w:cs="仿宋_GB2312" w:eastAsia="仿宋_GB2312"/>
              </w:rPr>
              <w:t>提供具有履行本合同所必需的设备和专业技术能力的说明及承诺（提供书面说明及承诺，加盖投标人公章）。</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提供参加政府采购活动前三年内在经营活动中没有重大违法记录的书面声明</w:t>
            </w:r>
          </w:p>
        </w:tc>
        <w:tc>
          <w:tcPr>
            <w:tcW w:type="dxa" w:w="3322"/>
          </w:tcPr>
          <w:p>
            <w:pPr>
              <w:pStyle w:val="null3"/>
            </w:pPr>
            <w:r>
              <w:rPr>
                <w:rFonts w:ascii="仿宋_GB2312" w:hAnsi="仿宋_GB2312" w:cs="仿宋_GB2312" w:eastAsia="仿宋_GB2312"/>
              </w:rPr>
              <w:t>提供参加政府采购活动前三年内在经营活动中没有重大违法记录的书面声明。（提供书面声明，加盖投标人公章）。</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授权委托书（附法定代表人身份证复印件及被授权人身份证复印件）；法定代表人直接参加投标提供法定代表人资格证明书（附法定代表人身份证复印件）；采购文件凡是法定代表人之处，非法人单位的负责人均参照执行（式样见投标文件格式）。</w:t>
            </w:r>
          </w:p>
        </w:tc>
        <w:tc>
          <w:tcPr>
            <w:tcW w:type="dxa" w:w="1661"/>
          </w:tcPr>
          <w:p>
            <w:pPr>
              <w:pStyle w:val="null3"/>
            </w:pPr>
            <w:r>
              <w:rPr>
                <w:rFonts w:ascii="仿宋_GB2312" w:hAnsi="仿宋_GB2312" w:cs="仿宋_GB2312" w:eastAsia="仿宋_GB2312"/>
              </w:rPr>
              <w:t>法定代表人授权委托书 资格审查证明文件</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投标保证金交纳凭证或担保函</w:t>
            </w:r>
          </w:p>
        </w:tc>
        <w:tc>
          <w:tcPr>
            <w:tcW w:type="dxa" w:w="3322"/>
          </w:tcPr>
          <w:p>
            <w:pPr>
              <w:pStyle w:val="null3"/>
            </w:pPr>
            <w:r>
              <w:rPr>
                <w:rFonts w:ascii="仿宋_GB2312" w:hAnsi="仿宋_GB2312" w:cs="仿宋_GB2312" w:eastAsia="仿宋_GB2312"/>
              </w:rPr>
              <w:t>投标保证金交纳凭证或担保函；（投标保证交纳金凭证为银行凭证及基本账户证明资料，担保函为财政部门认可的政府采购信用担保机构出具）。</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信用查询</w:t>
            </w:r>
          </w:p>
        </w:tc>
        <w:tc>
          <w:tcPr>
            <w:tcW w:type="dxa" w:w="3322"/>
          </w:tcPr>
          <w:p>
            <w:pPr>
              <w:pStyle w:val="null3"/>
            </w:pPr>
            <w:r>
              <w:rPr>
                <w:rFonts w:ascii="仿宋_GB2312" w:hAnsi="仿宋_GB2312" w:cs="仿宋_GB2312" w:eastAsia="仿宋_GB2312"/>
              </w:rPr>
              <w:t>信用查询：不得为“信用中国”网站(http://www.creditchina.gov.cn)列入“失信被执行人（页面跳转至“中国执行信息公开网”http://zxgk.court.gov.cn/shixin/）、重大税收违法失信主体、政府采购严重违法失信行为记录名单”的投标人；不得为中国政府采购网(http://www.ccgp.gov.cn)“政府采购严重违法失信行为记录名单”中的投标人（根据财库【2019】38号文规定，此项在投标截止日当天在“信用中国”网站和中国政府采购网站进行查询，截图留档；如网站无投标人信息的，投标人须提供相关证明资料或书面声明）。</w:t>
            </w:r>
          </w:p>
        </w:tc>
        <w:tc>
          <w:tcPr>
            <w:tcW w:type="dxa" w:w="1661"/>
          </w:tcPr>
          <w:p>
            <w:pPr>
              <w:pStyle w:val="null3"/>
            </w:pPr>
            <w:r>
              <w:rPr>
                <w:rFonts w:ascii="仿宋_GB2312" w:hAnsi="仿宋_GB2312" w:cs="仿宋_GB2312" w:eastAsia="仿宋_GB2312"/>
              </w:rPr>
              <w:t>资格审查证明文件</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控股关系查询或声明</w:t>
            </w:r>
          </w:p>
        </w:tc>
        <w:tc>
          <w:tcPr>
            <w:tcW w:type="dxa" w:w="3322"/>
          </w:tcPr>
          <w:p>
            <w:pPr>
              <w:pStyle w:val="null3"/>
            </w:pPr>
            <w:r>
              <w:rPr>
                <w:rFonts w:ascii="仿宋_GB2312" w:hAnsi="仿宋_GB2312" w:cs="仿宋_GB2312" w:eastAsia="仿宋_GB2312"/>
              </w:rPr>
              <w:t>控股关系查询或声明：单位负责人为同一人或者存在直接控股、管理关系的不同投标人，不得参加同一合同项下的政府采购活动（根据财库【2019】38号文规定，此项在投标截止日当天在“国家企业信用信息公示系统”进行查询，截图留档；如网站无投标人信息的，投标人须提供相关证明资料或书面声明）。</w:t>
            </w:r>
          </w:p>
        </w:tc>
        <w:tc>
          <w:tcPr>
            <w:tcW w:type="dxa" w:w="1661"/>
          </w:tcPr>
          <w:p>
            <w:pPr>
              <w:pStyle w:val="null3"/>
            </w:pPr>
            <w:r>
              <w:rPr>
                <w:rFonts w:ascii="仿宋_GB2312" w:hAnsi="仿宋_GB2312" w:cs="仿宋_GB2312" w:eastAsia="仿宋_GB2312"/>
              </w:rPr>
              <w:t>资格审查证明文件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ind w:firstLine="480"/>
      </w:pPr>
      <w:r>
        <w:rPr>
          <w:rFonts w:ascii="仿宋_GB2312" w:hAnsi="仿宋_GB2312" w:cs="仿宋_GB2312" w:eastAsia="仿宋_GB2312"/>
        </w:rPr>
        <w:t>注：工程量清单不属于磋商过程中可以实质性变动的内容。</w:t>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制度，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供应商通过证书加盖其电子印章后生效。出现无法在线签章的特殊情况，评审委员会成员可以线下签署评审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三、磋商小组按照磋商文件规定的磋商程序、评审方法和标准进行评审，并独立履行下列职责：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出现上述应当停止评审情形的，磋商小组应当通过项目电子化交易系统向采购人提交情况说明。除上述情形外，磋商小组不得以任何方式和理由停止评审。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一、磋商开始前，磋商小组对供应商首次提交的响应文件（包括报价）进行审查，审查内容为磋商文件不允许实质性变动的实质性要求，不符合实质性要求或应当作无效响应处理的，作无效响应处理。</w:t>
      </w:r>
    </w:p>
    <w:p>
      <w:pPr>
        <w:pStyle w:val="null3"/>
        <w:ind w:firstLine="480"/>
      </w:pPr>
      <w:r>
        <w:rPr>
          <w:rFonts w:ascii="仿宋_GB2312" w:hAnsi="仿宋_GB2312" w:cs="仿宋_GB2312" w:eastAsia="仿宋_GB2312"/>
        </w:rPr>
        <w:t>二、磋商小组对供应商已标价工程量清单进行算术性复核，如果出现下列不一致的，按以下原则进行修正：</w:t>
      </w:r>
    </w:p>
    <w:p>
      <w:pPr>
        <w:pStyle w:val="null3"/>
        <w:ind w:firstLine="480"/>
      </w:pPr>
      <w:r>
        <w:rPr>
          <w:rFonts w:ascii="仿宋_GB2312" w:hAnsi="仿宋_GB2312" w:cs="仿宋_GB2312" w:eastAsia="仿宋_GB2312"/>
        </w:rPr>
        <w:t xml:space="preserve"> （一）报价大写金额和小写金额不一致的，以大写金额为准。但大写金额文字存在错误的，应当先对大写金额的文字错误进行澄清、说明或者更正，再行修正。</w:t>
      </w:r>
    </w:p>
    <w:p>
      <w:pPr>
        <w:pStyle w:val="null3"/>
        <w:ind w:firstLine="480"/>
      </w:pPr>
      <w:r>
        <w:rPr>
          <w:rFonts w:ascii="仿宋_GB2312" w:hAnsi="仿宋_GB2312" w:cs="仿宋_GB2312" w:eastAsia="仿宋_GB2312"/>
        </w:rPr>
        <w:t xml:space="preserve"> （二）总价金额与依据单价（或费率）计算出的结果不一致的，以单价（或费率）为准修正总价，但单价（或费率）小数点有明显错误的除外（包括但不限于工程量清单、单位工程汇总表、单项工程汇总表、报价汇总表）。</w:t>
      </w:r>
    </w:p>
    <w:p>
      <w:pPr>
        <w:pStyle w:val="null3"/>
        <w:ind w:firstLine="480"/>
      </w:pPr>
      <w:r>
        <w:rPr>
          <w:rFonts w:ascii="仿宋_GB2312" w:hAnsi="仿宋_GB2312" w:cs="仿宋_GB2312" w:eastAsia="仿宋_GB2312"/>
        </w:rPr>
        <w:t xml:space="preserve"> 修正后的报价经供应商确认后产生约束力，供应商不确认的，其响应文件作为无效处理。供应商确认采取书面方式并经供应商授权代表签字。磋商小组不得未经书面形式要求供应商确认，直接将供应商响应文件作为无效处理。</w:t>
      </w:r>
    </w:p>
    <w:p>
      <w:pPr>
        <w:pStyle w:val="null3"/>
        <w:ind w:firstLine="480"/>
      </w:pPr>
      <w:r>
        <w:rPr>
          <w:rFonts w:ascii="仿宋_GB2312" w:hAnsi="仿宋_GB2312" w:cs="仿宋_GB2312" w:eastAsia="仿宋_GB2312"/>
        </w:rPr>
        <w:t xml:space="preserve"> 三、在符合性审查过程中，如果出现磋商小组成员意见不一致的情况，按照少数服从多数的原则确定，但不得违背政府采购基本原则和磋商文件规定。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四、磋商小组对所有响应文件进行审查后，确定参加磋商的供应商名单。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 xml:space="preserve"> 1.磋商小组认为供应商的报价明显低于其他实质性响应的供应商报价，有可能影响工程质量或者不能诚信履约的，应当要求其在合理的时间内提供书面说明，必要时提交相关证明材料；供应商不能证明其报价合理性的，磋商小组应当将其作为无效响应处理。 2.供应商通过项目电子化交易系统在磋商小组要求的合理时间内提交说明，否则无效。</w:t>
            </w:r>
          </w:p>
        </w:tc>
        <w:tc>
          <w:tcPr>
            <w:tcW w:type="dxa" w:w="1661"/>
          </w:tcPr>
          <w:p>
            <w:pPr>
              <w:pStyle w:val="null3"/>
            </w:pPr>
            <w:r>
              <w:rPr>
                <w:rFonts w:ascii="仿宋_GB2312" w:hAnsi="仿宋_GB2312" w:cs="仿宋_GB2312" w:eastAsia="仿宋_GB2312"/>
              </w:rPr>
              <w:t>报价函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供应商名称</w:t>
            </w:r>
          </w:p>
        </w:tc>
        <w:tc>
          <w:tcPr>
            <w:tcW w:type="dxa" w:w="3322"/>
          </w:tcPr>
          <w:p>
            <w:pPr>
              <w:pStyle w:val="null3"/>
            </w:pPr>
            <w:r>
              <w:rPr>
                <w:rFonts w:ascii="仿宋_GB2312" w:hAnsi="仿宋_GB2312" w:cs="仿宋_GB2312" w:eastAsia="仿宋_GB2312"/>
              </w:rPr>
              <w:t>供应商名称与获取磋商文件的单位名称不一致</w:t>
            </w:r>
          </w:p>
        </w:tc>
        <w:tc>
          <w:tcPr>
            <w:tcW w:type="dxa" w:w="1661"/>
          </w:tcPr>
          <w:p>
            <w:pPr>
              <w:pStyle w:val="null3"/>
            </w:pPr>
            <w:r>
              <w:rPr>
                <w:rFonts w:ascii="仿宋_GB2312" w:hAnsi="仿宋_GB2312" w:cs="仿宋_GB2312" w:eastAsia="仿宋_GB2312"/>
              </w:rPr>
              <w:t>已标价工程量清单 法定代表人授权委托书 中小企业声明函 业绩 供应商认为有必要说明的事宜（若有） 施工技术响应 设备响应偏离表 拒绝政府采购领域商业贿赂承诺书 商务条款响应偏离表 响应文件封面 承诺书（格式） 服务承诺 残疾人福利性单位声明函 资格审查证明文件 发电机技术佐证材料 投标分项报价表（格式） 响应函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磋商响应文件格式</w:t>
            </w:r>
          </w:p>
        </w:tc>
        <w:tc>
          <w:tcPr>
            <w:tcW w:type="dxa" w:w="3322"/>
          </w:tcPr>
          <w:p>
            <w:pPr>
              <w:pStyle w:val="null3"/>
            </w:pPr>
            <w:r>
              <w:rPr>
                <w:rFonts w:ascii="仿宋_GB2312" w:hAnsi="仿宋_GB2312" w:cs="仿宋_GB2312" w:eastAsia="仿宋_GB2312"/>
              </w:rPr>
              <w:t>除明确允许供应商可以自行编写的外，磋商响应文件未按照磋商文件给定的格式编制；</w:t>
            </w:r>
          </w:p>
        </w:tc>
        <w:tc>
          <w:tcPr>
            <w:tcW w:type="dxa" w:w="1661"/>
          </w:tcPr>
          <w:p>
            <w:pPr>
              <w:pStyle w:val="null3"/>
            </w:pPr>
            <w:r>
              <w:rPr>
                <w:rFonts w:ascii="仿宋_GB2312" w:hAnsi="仿宋_GB2312" w:cs="仿宋_GB2312" w:eastAsia="仿宋_GB2312"/>
              </w:rPr>
              <w:t>承诺书（格式） 中小企业声明函 残疾人福利性单位声明函 投标分项报价表（格式） 拒绝政府采购领域商业贿赂承诺书 设备响应偏离表 监狱企业的证明文件 商务条款响应偏离表</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磋商响应文件须按照磋商文件的要求盖章签字</w:t>
            </w:r>
          </w:p>
        </w:tc>
        <w:tc>
          <w:tcPr>
            <w:tcW w:type="dxa" w:w="3322"/>
          </w:tcPr>
          <w:p>
            <w:pPr>
              <w:pStyle w:val="null3"/>
            </w:pPr>
            <w:r>
              <w:rPr>
                <w:rFonts w:ascii="仿宋_GB2312" w:hAnsi="仿宋_GB2312" w:cs="仿宋_GB2312" w:eastAsia="仿宋_GB2312"/>
              </w:rPr>
              <w:t>磋商响应文件是否按照磋商文件的要求盖章签字</w:t>
            </w:r>
          </w:p>
        </w:tc>
        <w:tc>
          <w:tcPr>
            <w:tcW w:type="dxa" w:w="1661"/>
          </w:tcPr>
          <w:p>
            <w:pPr>
              <w:pStyle w:val="null3"/>
            </w:pPr>
            <w:r>
              <w:rPr>
                <w:rFonts w:ascii="仿宋_GB2312" w:hAnsi="仿宋_GB2312" w:cs="仿宋_GB2312" w:eastAsia="仿宋_GB2312"/>
              </w:rPr>
              <w:t>已标价工程量清单 法定代表人授权委托书 中小企业声明函 业绩 供应商认为有必要说明的事宜（若有） 施工技术响应 设备响应偏离表 拒绝政府采购领域商业贿赂承诺书 商务条款响应偏离表 响应文件封面 承诺书（格式） 服务承诺 残疾人福利性单位声明函 资格审查证明文件 发电机技术佐证材料 投标分项报价表（格式） 响应函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磋商报价</w:t>
            </w:r>
          </w:p>
        </w:tc>
        <w:tc>
          <w:tcPr>
            <w:tcW w:type="dxa" w:w="3322"/>
          </w:tcPr>
          <w:p>
            <w:pPr>
              <w:pStyle w:val="null3"/>
            </w:pPr>
            <w:r>
              <w:rPr>
                <w:rFonts w:ascii="仿宋_GB2312" w:hAnsi="仿宋_GB2312" w:cs="仿宋_GB2312" w:eastAsia="仿宋_GB2312"/>
              </w:rPr>
              <w:t>磋商报价不得超过采购预算</w:t>
            </w:r>
          </w:p>
        </w:tc>
        <w:tc>
          <w:tcPr>
            <w:tcW w:type="dxa" w:w="1661"/>
          </w:tcPr>
          <w:p>
            <w:pPr>
              <w:pStyle w:val="null3"/>
            </w:pPr>
            <w:r>
              <w:rPr>
                <w:rFonts w:ascii="仿宋_GB2312" w:hAnsi="仿宋_GB2312" w:cs="仿宋_GB2312" w:eastAsia="仿宋_GB2312"/>
              </w:rPr>
              <w:t>已标价工程量清单 投标分项报价表（格式）</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磋商有效期</w:t>
            </w:r>
          </w:p>
        </w:tc>
        <w:tc>
          <w:tcPr>
            <w:tcW w:type="dxa" w:w="3322"/>
          </w:tcPr>
          <w:p>
            <w:pPr>
              <w:pStyle w:val="null3"/>
            </w:pPr>
            <w:r>
              <w:rPr>
                <w:rFonts w:ascii="仿宋_GB2312" w:hAnsi="仿宋_GB2312" w:cs="仿宋_GB2312" w:eastAsia="仿宋_GB2312"/>
              </w:rPr>
              <w:t>磋商有效期不符合磋商文件的要求</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对磋商文件商务要求须作出明确且实质性响应</w:t>
            </w:r>
          </w:p>
        </w:tc>
        <w:tc>
          <w:tcPr>
            <w:tcW w:type="dxa" w:w="3322"/>
          </w:tcPr>
          <w:p>
            <w:pPr>
              <w:pStyle w:val="null3"/>
            </w:pPr>
            <w:r>
              <w:rPr>
                <w:rFonts w:ascii="仿宋_GB2312" w:hAnsi="仿宋_GB2312" w:cs="仿宋_GB2312" w:eastAsia="仿宋_GB2312"/>
              </w:rPr>
              <w:t>对磋商文件商务要求是否作出明确且实质性响应</w:t>
            </w:r>
          </w:p>
        </w:tc>
        <w:tc>
          <w:tcPr>
            <w:tcW w:type="dxa" w:w="1661"/>
          </w:tcPr>
          <w:p>
            <w:pPr>
              <w:pStyle w:val="null3"/>
            </w:pPr>
            <w:r>
              <w:rPr>
                <w:rFonts w:ascii="仿宋_GB2312" w:hAnsi="仿宋_GB2312" w:cs="仿宋_GB2312" w:eastAsia="仿宋_GB2312"/>
              </w:rPr>
              <w:t>商务条款响应偏离表</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对磋商文件服务内容和要求须作出明确响应，对不得偏离的要求须作实质性响应</w:t>
            </w:r>
          </w:p>
        </w:tc>
        <w:tc>
          <w:tcPr>
            <w:tcW w:type="dxa" w:w="3322"/>
          </w:tcPr>
          <w:p>
            <w:pPr>
              <w:pStyle w:val="null3"/>
            </w:pPr>
            <w:r>
              <w:rPr>
                <w:rFonts w:ascii="仿宋_GB2312" w:hAnsi="仿宋_GB2312" w:cs="仿宋_GB2312" w:eastAsia="仿宋_GB2312"/>
              </w:rPr>
              <w:t>对磋商文件服务内容和要求否作出明确响应，对不得偏离的要求是否作了实质性响应</w:t>
            </w:r>
          </w:p>
        </w:tc>
        <w:tc>
          <w:tcPr>
            <w:tcW w:type="dxa" w:w="1661"/>
          </w:tcPr>
          <w:p>
            <w:pPr>
              <w:pStyle w:val="null3"/>
            </w:pPr>
            <w:r>
              <w:rPr>
                <w:rFonts w:ascii="仿宋_GB2312" w:hAnsi="仿宋_GB2312" w:cs="仿宋_GB2312" w:eastAsia="仿宋_GB2312"/>
              </w:rPr>
              <w:t>已标价工程量清单 设备响应偏离表</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磋商响应文件是否含有采购人不能接受的附加条件</w:t>
            </w:r>
          </w:p>
        </w:tc>
        <w:tc>
          <w:tcPr>
            <w:tcW w:type="dxa" w:w="3322"/>
          </w:tcPr>
          <w:p>
            <w:pPr>
              <w:pStyle w:val="null3"/>
            </w:pPr>
            <w:r>
              <w:rPr>
                <w:rFonts w:ascii="仿宋_GB2312" w:hAnsi="仿宋_GB2312" w:cs="仿宋_GB2312" w:eastAsia="仿宋_GB2312"/>
              </w:rPr>
              <w:t>磋商响应文件不得含有采购人不能接受的附加条件</w:t>
            </w:r>
          </w:p>
        </w:tc>
        <w:tc>
          <w:tcPr>
            <w:tcW w:type="dxa" w:w="1661"/>
          </w:tcPr>
          <w:p>
            <w:pPr>
              <w:pStyle w:val="null3"/>
            </w:pPr>
            <w:r>
              <w:rPr>
                <w:rFonts w:ascii="仿宋_GB2312" w:hAnsi="仿宋_GB2312" w:cs="仿宋_GB2312" w:eastAsia="仿宋_GB2312"/>
              </w:rPr>
              <w:t>已标价工程量清单 法定代表人授权委托书 中小企业声明函 业绩 供应商认为有必要说明的事宜（若有） 施工技术响应 设备响应偏离表 拒绝政府采购领域商业贿赂承诺书 商务条款响应偏离表 响应文件封面 承诺书（格式） 服务承诺 残疾人福利性单位声明函 资格审查证明文件 发电机技术佐证材料 投标分项报价表（格式） 响应函 监狱企业的证明文件</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法律、法规和磋商文件规定的其他无效响应情形</w:t>
            </w:r>
          </w:p>
        </w:tc>
        <w:tc>
          <w:tcPr>
            <w:tcW w:type="dxa" w:w="3322"/>
          </w:tcPr>
          <w:p>
            <w:pPr>
              <w:pStyle w:val="null3"/>
            </w:pPr>
            <w:r>
              <w:rPr>
                <w:rFonts w:ascii="仿宋_GB2312" w:hAnsi="仿宋_GB2312" w:cs="仿宋_GB2312" w:eastAsia="仿宋_GB2312"/>
              </w:rPr>
              <w:t>是否有法律、法规和磋商文件规定的其他无效响应情形</w:t>
            </w:r>
          </w:p>
        </w:tc>
        <w:tc>
          <w:tcPr>
            <w:tcW w:type="dxa" w:w="1661"/>
          </w:tcPr>
          <w:p>
            <w:pPr>
              <w:pStyle w:val="null3"/>
            </w:pPr>
            <w:r>
              <w:rPr>
                <w:rFonts w:ascii="仿宋_GB2312" w:hAnsi="仿宋_GB2312" w:cs="仿宋_GB2312" w:eastAsia="仿宋_GB2312"/>
              </w:rPr>
              <w:t>已标价工程量清单 法定代表人授权委托书 中小企业声明函 业绩 供应商认为有必要说明的事宜（若有） 施工技术响应 设备响应偏离表 拒绝政府采购领域商业贿赂承诺书 商务条款响应偏离表 响应文件封面 承诺书（格式） 服务承诺 残疾人福利性单位声明函 资格审查证明文件 发电机技术佐证材料 投标分项报价表（格式） 响应函 监狱企业的证明文件</w:t>
            </w:r>
          </w:p>
        </w:tc>
      </w:tr>
    </w:tbl>
    <w:p>
      <w:pPr>
        <w:pStyle w:val="null3"/>
        <w:outlineLvl w:val="3"/>
      </w:pPr>
      <w:r>
        <w:rPr>
          <w:rFonts w:ascii="仿宋_GB2312" w:hAnsi="仿宋_GB2312" w:cs="仿宋_GB2312" w:eastAsia="仿宋_GB2312"/>
          <w:sz w:val="24"/>
          <w:b/>
        </w:rPr>
        <w:t xml:space="preserve"> 6.3.3磋商</w:t>
      </w:r>
    </w:p>
    <w:p>
      <w:pPr>
        <w:pStyle w:val="null3"/>
        <w:ind w:firstLine="480"/>
      </w:pPr>
      <w:r>
        <w:rPr>
          <w:rFonts w:ascii="仿宋_GB2312" w:hAnsi="仿宋_GB2312" w:cs="仿宋_GB2312" w:eastAsia="仿宋_GB2312"/>
        </w:rPr>
        <w:t xml:space="preserve"> 一、磋商小组所有成员集中与单一供应商分别进行一轮或多轮磋商，并给予所有参加磋商的供应商平等的磋商机会。磋商顺序由磋商小组组长以在线抽签的方式确定。磋商过程中，磋商小组可以根据磋商情况调整磋商轮次。</w:t>
      </w:r>
    </w:p>
    <w:p>
      <w:pPr>
        <w:pStyle w:val="null3"/>
        <w:ind w:firstLine="480"/>
      </w:pPr>
      <w:r>
        <w:rPr>
          <w:rFonts w:ascii="仿宋_GB2312" w:hAnsi="仿宋_GB2312" w:cs="仿宋_GB2312" w:eastAsia="仿宋_GB2312"/>
        </w:rPr>
        <w:t>二、每轮磋商开始前，磋商小组应根据磋商文件的规定，并结合各供应商的响应文件拟定磋商内容。</w:t>
      </w:r>
    </w:p>
    <w:p>
      <w:pPr>
        <w:pStyle w:val="null3"/>
        <w:ind w:firstLine="480"/>
      </w:pPr>
      <w:r>
        <w:rPr>
          <w:rFonts w:ascii="仿宋_GB2312" w:hAnsi="仿宋_GB2312" w:cs="仿宋_GB2312" w:eastAsia="仿宋_GB2312"/>
        </w:rPr>
        <w:t xml:space="preserve"> 三、在磋商过程中，磋商小组在获得采购人代表确认的前提下，可以根据磋商文件第三章“磋商项目技术、服务、商务及其他要求”、第八章“拟签订的合同文本”规定的可实质性变动内容和磋商情况实质性变动磋商文件的技术、服务要求以及合同草案条款，但不得变动磋商文件中的其他内容。</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六、经最终磋商后，响应文件仍有下列情况之一的，应按照无效响应文件处理：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能够详细列明采购标的的技术、服务要求，磋商/谈判/协商结束后，磋商/谈判/协商小组可以根据磋商/谈判/协商情况要求所有实质性响应的供应商在规定时间内提交最后报价，提交最后报价的供应商不得少于3家。</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 xml:space="preserve"> （五）若采用项目包干价的，供应商直接给出其完成本项目全部工作内容所需的总价，不再提供已标价工程量清单（报价格式要求见第七章）。</w:t>
      </w:r>
    </w:p>
    <w:p>
      <w:pPr>
        <w:pStyle w:val="null3"/>
        <w:ind w:firstLine="480"/>
      </w:pPr>
      <w:r>
        <w:rPr>
          <w:rFonts w:ascii="仿宋_GB2312" w:hAnsi="仿宋_GB2312" w:cs="仿宋_GB2312" w:eastAsia="仿宋_GB2312"/>
        </w:rPr>
        <w:t xml:space="preserve"> （六）若采用项目单价的，首次响应文件中的报价以已标价工程量清单报价。供应商最后报价采用基于首次响应文件的报价下浮一定比例的方式进行报价。</w:t>
      </w:r>
    </w:p>
    <w:p>
      <w:pPr>
        <w:pStyle w:val="null3"/>
        <w:ind w:firstLine="480"/>
      </w:pPr>
      <w:r>
        <w:rPr>
          <w:rFonts w:ascii="仿宋_GB2312" w:hAnsi="仿宋_GB2312" w:cs="仿宋_GB2312" w:eastAsia="仿宋_GB2312"/>
        </w:rPr>
        <w:t xml:space="preserve"> （七）若采用采购人固定价的，供应商的报价应当按照磋商文件中确定了的采购项目采购价格进行报价，不得增加或者减少，否则其报价无效，其响应文件应当作为无效处理。供应商最后报价应当以全部响应磋商文件及磋商过程中变更的实质性要求为前提，最后报价应当与首次报价一致，否则作为无效处理（报价格式要求见第七章）。</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说明或者更正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由磋商小组采用综合评分法对提交最后报价的供应商的响应文件和最后报价进行综合评分，具体要求详见本章评审办法及标准部分。</w:t>
      </w:r>
    </w:p>
    <w:p>
      <w:pPr>
        <w:pStyle w:val="null3"/>
        <w:outlineLvl w:val="3"/>
      </w:pPr>
      <w:r>
        <w:rPr>
          <w:rFonts w:ascii="仿宋_GB2312" w:hAnsi="仿宋_GB2312" w:cs="仿宋_GB2312" w:eastAsia="仿宋_GB2312"/>
          <w:sz w:val="24"/>
          <w:b/>
        </w:rPr>
        <w:t xml:space="preserve"> 6.3.7推荐成交候选供应商</w:t>
      </w:r>
    </w:p>
    <w:p>
      <w:pPr>
        <w:pStyle w:val="null3"/>
        <w:ind w:firstLine="480"/>
      </w:pPr>
      <w:r>
        <w:rPr>
          <w:rFonts w:ascii="仿宋_GB2312" w:hAnsi="仿宋_GB2312" w:cs="仿宋_GB2312" w:eastAsia="仿宋_GB2312"/>
        </w:rPr>
        <w:t>磋商小组应当根据综合评分情况，按照评审得分由高到低顺序推荐如下家数的成交候选供应商，并编写磋商报告。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6.3.8磋商小组复核</w:t>
      </w:r>
    </w:p>
    <w:p>
      <w:pPr>
        <w:pStyle w:val="null3"/>
        <w:ind w:firstLine="480"/>
      </w:pPr>
      <w:r>
        <w:rPr>
          <w:rFonts w:ascii="仿宋_GB2312" w:hAnsi="仿宋_GB2312" w:cs="仿宋_GB2312" w:eastAsia="仿宋_GB2312"/>
        </w:rPr>
        <w:t xml:space="preserve"> 磋商小组评分汇总结束后，磋商小组应当进行评审复核，对拟推荐为成交候选供应商的、报价最低的、供应商响应文件作无效处理的重点复核。</w:t>
      </w:r>
    </w:p>
    <w:p>
      <w:pPr>
        <w:pStyle w:val="null3"/>
        <w:outlineLvl w:val="3"/>
      </w:pPr>
      <w:r>
        <w:rPr>
          <w:rFonts w:ascii="仿宋_GB2312" w:hAnsi="仿宋_GB2312" w:cs="仿宋_GB2312" w:eastAsia="仿宋_GB2312"/>
          <w:sz w:val="24"/>
          <w:b/>
        </w:rPr>
        <w:t>6.3.9代理机构现场复核评审结果</w:t>
      </w:r>
    </w:p>
    <w:p>
      <w:pPr>
        <w:pStyle w:val="null3"/>
        <w:ind w:firstLine="480"/>
      </w:pPr>
      <w:r>
        <w:rPr>
          <w:rFonts w:ascii="仿宋_GB2312" w:hAnsi="仿宋_GB2312" w:cs="仿宋_GB2312" w:eastAsia="仿宋_GB2312"/>
        </w:rPr>
        <w:t xml:space="preserve"> 一、评审结果汇总完成后，磋商小组拟出具磋商磋商报告前，代理机构应当组织2名以上的本单位工作人员，在采购现场监督人员的监督之下，依据有关的法律制度和磋商文件对评审结果进行复核，出具复核报告，存在下列情形之一的，代理机构应当根据情况通过项目电子化交易系统建议磋商小组现场修改评审结果。存在本条上述情形的，由磋商小组自主决定是否采纳代理机构的建议，并承担独立评审责任。</w:t>
      </w:r>
    </w:p>
    <w:p>
      <w:pPr>
        <w:pStyle w:val="null3"/>
        <w:ind w:firstLine="480"/>
      </w:pPr>
      <w:r>
        <w:rPr>
          <w:rFonts w:ascii="仿宋_GB2312" w:hAnsi="仿宋_GB2312" w:cs="仿宋_GB2312" w:eastAsia="仿宋_GB2312"/>
        </w:rPr>
        <w:t xml:space="preserve"> 二、磋商小组采纳代理机构建议的，应当按照规定现场通过项目电子化交易系统修改评审结果或者重新评审，并在磋商报告中详细记载有关事宜；不采纳代理机构建议的，应当说明理由。代理机构建议未被磋商小组采纳的，应当按照规定程序要求继续组织实施采购活动，不得擅自中止采购活动。代理机构认为磋商小组评审结果不合法的，应当书面报告采购项目同级财政部门。</w:t>
      </w:r>
    </w:p>
    <w:p>
      <w:pPr>
        <w:pStyle w:val="null3"/>
        <w:ind w:firstLine="480"/>
      </w:pPr>
      <w:r>
        <w:rPr>
          <w:rFonts w:ascii="仿宋_GB2312" w:hAnsi="仿宋_GB2312" w:cs="仿宋_GB2312" w:eastAsia="仿宋_GB2312"/>
        </w:rPr>
        <w:t>三、代理机构复核过程中，磋商小组成员不得离开评审现场。</w:t>
      </w:r>
    </w:p>
    <w:p>
      <w:pPr>
        <w:pStyle w:val="null3"/>
        <w:outlineLvl w:val="3"/>
      </w:pPr>
      <w:r>
        <w:rPr>
          <w:rFonts w:ascii="仿宋_GB2312" w:hAnsi="仿宋_GB2312" w:cs="仿宋_GB2312" w:eastAsia="仿宋_GB2312"/>
          <w:sz w:val="24"/>
          <w:b/>
        </w:rPr>
        <w:t>6.3.10编写磋商报告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6.3.11评审争议处理规则</w:t>
      </w:r>
    </w:p>
    <w:p>
      <w:pPr>
        <w:pStyle w:val="null3"/>
        <w:ind w:firstLine="480"/>
      </w:pPr>
      <w:r>
        <w:rPr>
          <w:rFonts w:ascii="仿宋_GB2312" w:hAnsi="仿宋_GB2312" w:cs="仿宋_GB2312" w:eastAsia="仿宋_GB2312"/>
        </w:rPr>
        <w:t xml:space="preserve"> 磋商小组在评审过程中，对于资格审查、符合性审查、对供应商响应文件做无效处理及其他需要共同认定的事项存在争议的，应当以少数服从多数的原则做出结论，但不得违背法律法规和磋商文件规定。有不同意见的磋商小组成员认为认定过程和结果不符合法律法规或者磋商文件规定的，应当在磋商报告中予以反映。</w:t>
      </w:r>
    </w:p>
    <w:p>
      <w:pPr>
        <w:pStyle w:val="null3"/>
        <w:outlineLvl w:val="3"/>
      </w:pPr>
      <w:r>
        <w:rPr>
          <w:rFonts w:ascii="仿宋_GB2312" w:hAnsi="仿宋_GB2312" w:cs="仿宋_GB2312" w:eastAsia="仿宋_GB2312"/>
          <w:sz w:val="24"/>
          <w:b/>
        </w:rPr>
        <w:t>6.3.12终止磋商采购活动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三、在采购过程中符合要求的供应商或者报价未超过采购预算及最高限价的供应商不足3家的；</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一、磋商小组根据磋商文件的要求采用相同的评审程序、评分办法及标准进行评价和比较。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ind w:firstLine="480"/>
      </w:pPr>
      <w:r>
        <w:rPr>
          <w:rFonts w:ascii="仿宋_GB2312" w:hAnsi="仿宋_GB2312" w:cs="仿宋_GB2312" w:eastAsia="仿宋_GB2312"/>
        </w:rPr>
        <w:t>一、本次综合评分的因素详见综合评分明细表。</w:t>
      </w:r>
    </w:p>
    <w:p>
      <w:pPr>
        <w:pStyle w:val="null3"/>
        <w:ind w:firstLine="480"/>
      </w:pPr>
      <w:r>
        <w:rPr>
          <w:rFonts w:ascii="仿宋_GB2312" w:hAnsi="仿宋_GB2312" w:cs="仿宋_GB2312" w:eastAsia="仿宋_GB2312"/>
        </w:rPr>
        <w:t>二、综合评分明细表</w:t>
      </w:r>
    </w:p>
    <w:p>
      <w:pPr>
        <w:pStyle w:val="null3"/>
        <w:ind w:firstLine="480"/>
      </w:pPr>
      <w:r>
        <w:rPr>
          <w:rFonts w:ascii="仿宋_GB2312" w:hAnsi="仿宋_GB2312" w:cs="仿宋_GB2312" w:eastAsia="仿宋_GB2312"/>
        </w:rPr>
        <w:t>（一）综合评分明细表的制定以科学合理、降低磋商小组自由裁量权为原则。</w:t>
      </w:r>
    </w:p>
    <w:p>
      <w:pPr>
        <w:pStyle w:val="null3"/>
        <w:ind w:firstLine="480"/>
      </w:pPr>
      <w:r>
        <w:rPr>
          <w:rFonts w:ascii="仿宋_GB2312" w:hAnsi="仿宋_GB2312" w:cs="仿宋_GB2312" w:eastAsia="仿宋_GB2312"/>
        </w:rPr>
        <w:t>（二）综合评分明细表中的报价应先按供应商须知附表中的相关要求进行价格调整，再进行报价评分。</w:t>
      </w:r>
    </w:p>
    <w:p>
      <w:pPr>
        <w:pStyle w:val="null3"/>
        <w:ind w:firstLine="480"/>
      </w:pPr>
      <w:r>
        <w:rPr>
          <w:rFonts w:ascii="仿宋_GB2312" w:hAnsi="仿宋_GB2312" w:cs="仿宋_GB2312" w:eastAsia="仿宋_GB2312"/>
        </w:rPr>
        <w:t>（三）综合评分明细表：</w:t>
      </w:r>
    </w:p>
    <w:p>
      <w:pPr>
        <w:pStyle w:val="null3"/>
        <w:ind w:firstLine="480"/>
      </w:pPr>
      <w:r>
        <w:rPr>
          <w:rFonts w:ascii="仿宋_GB2312" w:hAnsi="仿宋_GB2312" w:cs="仿宋_GB2312" w:eastAsia="仿宋_GB2312"/>
        </w:rPr>
        <w:t xml:space="preserve"> （说明：采购人根据项目实际需要设置评审因素和标准，评审标准中的分值设置应当与评审因素的量化指标相对应。）</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详细评审70.0000分</w:t>
            </w:r>
          </w:p>
          <w:p>
            <w:pPr>
              <w:pStyle w:val="null3"/>
            </w:pPr>
            <w:r>
              <w:rPr>
                <w:rFonts w:ascii="仿宋_GB2312" w:hAnsi="仿宋_GB2312" w:cs="仿宋_GB2312" w:eastAsia="仿宋_GB2312"/>
              </w:rPr>
              <w:t>报价得分30.0000分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商务响应</w:t>
            </w:r>
          </w:p>
        </w:tc>
        <w:tc>
          <w:tcPr>
            <w:tcW w:type="dxa" w:w="2492"/>
          </w:tcPr>
          <w:p>
            <w:pPr>
              <w:pStyle w:val="null3"/>
            </w:pPr>
            <w:r>
              <w:rPr>
                <w:rFonts w:ascii="仿宋_GB2312" w:hAnsi="仿宋_GB2312" w:cs="仿宋_GB2312" w:eastAsia="仿宋_GB2312"/>
              </w:rPr>
              <w:t>磋商响应文件对工期、质保期、付款方式、验收等商务要求进行详细说明，完全响应磋商文件的计1分，工期优于最多的加1分，其余不加分。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商务条款响应偏离表</w:t>
            </w:r>
          </w:p>
        </w:tc>
      </w:tr>
      <w:tr>
        <w:tc>
          <w:tcPr>
            <w:tcW w:type="dxa" w:w="831"/>
            <w:vMerge/>
          </w:tcPr>
          <w:p/>
        </w:tc>
        <w:tc>
          <w:tcPr>
            <w:tcW w:type="dxa" w:w="1661"/>
          </w:tcPr>
          <w:p>
            <w:pPr>
              <w:pStyle w:val="null3"/>
            </w:pPr>
            <w:r>
              <w:rPr>
                <w:rFonts w:ascii="仿宋_GB2312" w:hAnsi="仿宋_GB2312" w:cs="仿宋_GB2312" w:eastAsia="仿宋_GB2312"/>
              </w:rPr>
              <w:t>发电机技术指标配置</w:t>
            </w:r>
          </w:p>
        </w:tc>
        <w:tc>
          <w:tcPr>
            <w:tcW w:type="dxa" w:w="2492"/>
          </w:tcPr>
          <w:p>
            <w:pPr>
              <w:pStyle w:val="null3"/>
            </w:pPr>
            <w:r>
              <w:rPr>
                <w:rFonts w:ascii="仿宋_GB2312" w:hAnsi="仿宋_GB2312" w:cs="仿宋_GB2312" w:eastAsia="仿宋_GB2312"/>
              </w:rPr>
              <w:t>完全符合、满足招标文件技术要求的，计15分；参数技术指标每有一条负偏离的扣2分，基本分扣完为止。 注：投标人应提供充足的技术佐证材料（佐证材料包括但不限于：经厂家确认的功能截图、检测报告、官网截图等证明材料）对于技术响应予以佐证，佐证材料应编制在投标文件中，投标人自行承担因佐证材料不全而被视为技术参数认定为负偏离的风险。</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设备响应偏离表</w:t>
            </w:r>
          </w:p>
          <w:p>
            <w:pPr>
              <w:pStyle w:val="null3"/>
            </w:pPr>
            <w:r>
              <w:rPr>
                <w:rFonts w:ascii="仿宋_GB2312" w:hAnsi="仿宋_GB2312" w:cs="仿宋_GB2312" w:eastAsia="仿宋_GB2312"/>
              </w:rPr>
              <w:t>发电机技术佐证材料</w:t>
            </w:r>
          </w:p>
        </w:tc>
      </w:tr>
      <w:tr>
        <w:tc>
          <w:tcPr>
            <w:tcW w:type="dxa" w:w="831"/>
            <w:vMerge/>
          </w:tcPr>
          <w:p/>
        </w:tc>
        <w:tc>
          <w:tcPr>
            <w:tcW w:type="dxa" w:w="1661"/>
          </w:tcPr>
          <w:p>
            <w:pPr>
              <w:pStyle w:val="null3"/>
            </w:pPr>
            <w:r>
              <w:rPr>
                <w:rFonts w:ascii="仿宋_GB2312" w:hAnsi="仿宋_GB2312" w:cs="仿宋_GB2312" w:eastAsia="仿宋_GB2312"/>
              </w:rPr>
              <w:t>施工技术响应1</w:t>
            </w:r>
          </w:p>
        </w:tc>
        <w:tc>
          <w:tcPr>
            <w:tcW w:type="dxa" w:w="2492"/>
          </w:tcPr>
          <w:p>
            <w:pPr>
              <w:pStyle w:val="null3"/>
            </w:pPr>
            <w:r>
              <w:rPr>
                <w:rFonts w:ascii="仿宋_GB2312" w:hAnsi="仿宋_GB2312" w:cs="仿宋_GB2312" w:eastAsia="仿宋_GB2312"/>
              </w:rPr>
              <w:t>1、确保工程质量的技术组织措施【5分】 ①内容科学全面，具体措施详细具体的计5分； ②内容仅有框架无实质性内容或措施内容不合理的，条理不清晰的计3分；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施工技术响应2</w:t>
            </w:r>
          </w:p>
        </w:tc>
        <w:tc>
          <w:tcPr>
            <w:tcW w:type="dxa" w:w="2492"/>
          </w:tcPr>
          <w:p>
            <w:pPr>
              <w:pStyle w:val="null3"/>
            </w:pPr>
            <w:r>
              <w:rPr>
                <w:rFonts w:ascii="仿宋_GB2312" w:hAnsi="仿宋_GB2312" w:cs="仿宋_GB2312" w:eastAsia="仿宋_GB2312"/>
              </w:rPr>
              <w:t>2、确保文明施工的技术组织措施及环境保护措施【5分】 ①内容科学全面，具体措施详细具体的计5分； ②内容仅有框架无实质性内容或措施内容不合理的，条理不清晰的计3分；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施工技术响应3</w:t>
            </w:r>
          </w:p>
        </w:tc>
        <w:tc>
          <w:tcPr>
            <w:tcW w:type="dxa" w:w="2492"/>
          </w:tcPr>
          <w:p>
            <w:pPr>
              <w:pStyle w:val="null3"/>
            </w:pPr>
            <w:r>
              <w:rPr>
                <w:rFonts w:ascii="仿宋_GB2312" w:hAnsi="仿宋_GB2312" w:cs="仿宋_GB2312" w:eastAsia="仿宋_GB2312"/>
              </w:rPr>
              <w:t>3、确保安全生产的技术组织措施【5分】 ①内容科学全面，具体措施详细具体的计5分； ②内容仅有框架无实质性内容或措施内容不合理的，条理不清晰的计3分；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施工技术响应4</w:t>
            </w:r>
          </w:p>
        </w:tc>
        <w:tc>
          <w:tcPr>
            <w:tcW w:type="dxa" w:w="2492"/>
          </w:tcPr>
          <w:p>
            <w:pPr>
              <w:pStyle w:val="null3"/>
            </w:pPr>
            <w:r>
              <w:rPr>
                <w:rFonts w:ascii="仿宋_GB2312" w:hAnsi="仿宋_GB2312" w:cs="仿宋_GB2312" w:eastAsia="仿宋_GB2312"/>
              </w:rPr>
              <w:t>4、确保工期的技术组织措施【5分】 ①内容科学全面，具体措施详细具体的计5分； ②内容仅有框架无实质性内容或措施内容不合理的，条理不清晰的计3分；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施工技术响应5</w:t>
            </w:r>
          </w:p>
        </w:tc>
        <w:tc>
          <w:tcPr>
            <w:tcW w:type="dxa" w:w="2492"/>
          </w:tcPr>
          <w:p>
            <w:pPr>
              <w:pStyle w:val="null3"/>
            </w:pPr>
            <w:r>
              <w:rPr>
                <w:rFonts w:ascii="仿宋_GB2312" w:hAnsi="仿宋_GB2312" w:cs="仿宋_GB2312" w:eastAsia="仿宋_GB2312"/>
              </w:rPr>
              <w:t>5、安装、调试、检测及施工方案【5分】 ①内容科学全面，方案具体措施详细具体的计5分； ②内容仅有框架无实质性内容或施工方案内容不合理的，条理不清晰的计3分；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施工技术响应6</w:t>
            </w:r>
          </w:p>
        </w:tc>
        <w:tc>
          <w:tcPr>
            <w:tcW w:type="dxa" w:w="2492"/>
          </w:tcPr>
          <w:p>
            <w:pPr>
              <w:pStyle w:val="null3"/>
            </w:pPr>
            <w:r>
              <w:rPr>
                <w:rFonts w:ascii="仿宋_GB2312" w:hAnsi="仿宋_GB2312" w:cs="仿宋_GB2312" w:eastAsia="仿宋_GB2312"/>
              </w:rPr>
              <w:t>6、施工机械及材料投入计划【5分】 ①施工机械及材料投入数量完善、合理的计5分； ②机械设备投入数量不能完全满足需求的计3分；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施工技术响应7</w:t>
            </w:r>
          </w:p>
        </w:tc>
        <w:tc>
          <w:tcPr>
            <w:tcW w:type="dxa" w:w="2492"/>
          </w:tcPr>
          <w:p>
            <w:pPr>
              <w:pStyle w:val="null3"/>
            </w:pPr>
            <w:r>
              <w:rPr>
                <w:rFonts w:ascii="仿宋_GB2312" w:hAnsi="仿宋_GB2312" w:cs="仿宋_GB2312" w:eastAsia="仿宋_GB2312"/>
              </w:rPr>
              <w:t>7、施工进度表或施工网络图【5分】 ①网络图或进度表内容详尽、安排合理且实施性强的计5分； ②网络图或进度表内容缺失，关键节点不明确的或进度安排不合理的计3分；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施工技术响应8</w:t>
            </w:r>
          </w:p>
        </w:tc>
        <w:tc>
          <w:tcPr>
            <w:tcW w:type="dxa" w:w="2492"/>
          </w:tcPr>
          <w:p>
            <w:pPr>
              <w:pStyle w:val="null3"/>
            </w:pPr>
            <w:r>
              <w:rPr>
                <w:rFonts w:ascii="仿宋_GB2312" w:hAnsi="仿宋_GB2312" w:cs="仿宋_GB2312" w:eastAsia="仿宋_GB2312"/>
              </w:rPr>
              <w:t>8、劳动力安排计划及劳务分包情况【5分】 ①计划安排科学合理，措施完善的计5分 ②计划安排仅有粗略框架无关键节点的或安排不合理的计3分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施工技术响应9</w:t>
            </w:r>
          </w:p>
        </w:tc>
        <w:tc>
          <w:tcPr>
            <w:tcW w:type="dxa" w:w="2492"/>
          </w:tcPr>
          <w:p>
            <w:pPr>
              <w:pStyle w:val="null3"/>
            </w:pPr>
            <w:r>
              <w:rPr>
                <w:rFonts w:ascii="仿宋_GB2312" w:hAnsi="仿宋_GB2312" w:cs="仿宋_GB2312" w:eastAsia="仿宋_GB2312"/>
              </w:rPr>
              <w:t>9、项目经理部组织机构【5分】 ①人员配备数量充足、岗位设置合理的计5分 ②人员配备不足的或组织机构设置不合理的计3分 ③未提供本项不计分。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施工技术响应</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以合同形式提供供应商2022年1月1日至今同类项目业绩，每份计1分，计满3分为止。</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业绩</w:t>
            </w:r>
          </w:p>
        </w:tc>
      </w:tr>
      <w:tr>
        <w:tc>
          <w:tcPr>
            <w:tcW w:type="dxa" w:w="831"/>
            <w:vMerge/>
          </w:tcPr>
          <w:p/>
        </w:tc>
        <w:tc>
          <w:tcPr>
            <w:tcW w:type="dxa" w:w="1661"/>
          </w:tcPr>
          <w:p>
            <w:pPr>
              <w:pStyle w:val="null3"/>
            </w:pPr>
            <w:r>
              <w:rPr>
                <w:rFonts w:ascii="仿宋_GB2312" w:hAnsi="仿宋_GB2312" w:cs="仿宋_GB2312" w:eastAsia="仿宋_GB2312"/>
              </w:rPr>
              <w:t>服务承诺</w:t>
            </w:r>
          </w:p>
        </w:tc>
        <w:tc>
          <w:tcPr>
            <w:tcW w:type="dxa" w:w="2492"/>
          </w:tcPr>
          <w:p>
            <w:pPr>
              <w:pStyle w:val="null3"/>
            </w:pPr>
            <w:r>
              <w:rPr>
                <w:rFonts w:ascii="仿宋_GB2312" w:hAnsi="仿宋_GB2312" w:cs="仿宋_GB2312" w:eastAsia="仿宋_GB2312"/>
              </w:rPr>
              <w:t>完全承诺磋商文件和合同条款，并针对本项目实际需求提供实质性承诺或合理化建议。 ①服务承诺详细全面、措施及建议合理可行的计5分； ②服务承诺内容不具体的或条理不清晰的计3分； ③服务承诺仅有框架无具体措施的只有简短文字叙述的计1分； ④未提供的不计分。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服务承诺</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按照财政部《政府采购竞争性磋商采购方式管理暂行办法》（财库[2014]214号）的有关规定：价格分采用低价优先法计算，即满足竞争性磋商文件要求且最后报价最低的供应商的价格为磋商基准价，其价格分为满分。其他供应商的价格分统一按照下列公式计算： 磋商报价得分=（磋商基准价/最终磋商报价）×价格权值（即30%）×100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报价函</w:t>
            </w:r>
          </w:p>
          <w:p>
            <w:pPr>
              <w:pStyle w:val="null3"/>
            </w:pPr>
            <w:r>
              <w:rPr>
                <w:rFonts w:ascii="仿宋_GB2312" w:hAnsi="仿宋_GB2312" w:cs="仿宋_GB2312" w:eastAsia="仿宋_GB2312"/>
              </w:rPr>
              <w:t>投标分项报价表（格式）</w:t>
            </w:r>
          </w:p>
          <w:p>
            <w:pPr>
              <w:pStyle w:val="null3"/>
            </w:pPr>
            <w:r>
              <w:rPr>
                <w:rFonts w:ascii="仿宋_GB2312" w:hAnsi="仿宋_GB2312" w:cs="仿宋_GB2312" w:eastAsia="仿宋_GB2312"/>
              </w:rPr>
              <w:t>已标价工程量清单</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6.6评审专家在政府采购活动中承担以下义务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6.7评审专家在政府采购活动中应当遵守以下工作纪律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详见附件：报价函</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详见附件：投标分项报价表（格式）</w:t>
      </w:r>
    </w:p>
    <w:p>
      <w:pPr>
        <w:pStyle w:val="null3"/>
        <w:ind w:firstLine="960"/>
      </w:pPr>
      <w:r>
        <w:rPr>
          <w:rFonts w:ascii="仿宋_GB2312" w:hAnsi="仿宋_GB2312" w:cs="仿宋_GB2312" w:eastAsia="仿宋_GB2312"/>
        </w:rPr>
        <w:t>详见附件：已标价工程量清单</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详见附件：商务条款响应偏离表</w:t>
      </w:r>
    </w:p>
    <w:p>
      <w:pPr>
        <w:pStyle w:val="null3"/>
        <w:ind w:firstLine="960"/>
      </w:pPr>
      <w:r>
        <w:rPr>
          <w:rFonts w:ascii="仿宋_GB2312" w:hAnsi="仿宋_GB2312" w:cs="仿宋_GB2312" w:eastAsia="仿宋_GB2312"/>
        </w:rPr>
        <w:t>详见附件：设备响应偏离表</w:t>
      </w:r>
    </w:p>
    <w:p>
      <w:pPr>
        <w:pStyle w:val="null3"/>
        <w:ind w:firstLine="960"/>
      </w:pPr>
      <w:r>
        <w:rPr>
          <w:rFonts w:ascii="仿宋_GB2312" w:hAnsi="仿宋_GB2312" w:cs="仿宋_GB2312" w:eastAsia="仿宋_GB2312"/>
        </w:rPr>
        <w:t>详见附件：发电机技术佐证材料</w:t>
      </w:r>
    </w:p>
    <w:p>
      <w:pPr>
        <w:pStyle w:val="null3"/>
        <w:ind w:firstLine="960"/>
      </w:pPr>
      <w:r>
        <w:rPr>
          <w:rFonts w:ascii="仿宋_GB2312" w:hAnsi="仿宋_GB2312" w:cs="仿宋_GB2312" w:eastAsia="仿宋_GB2312"/>
        </w:rPr>
        <w:t>详见附件：法定代表人授权委托书</w:t>
      </w:r>
    </w:p>
    <w:p>
      <w:pPr>
        <w:pStyle w:val="null3"/>
        <w:ind w:firstLine="960"/>
      </w:pPr>
      <w:r>
        <w:rPr>
          <w:rFonts w:ascii="仿宋_GB2312" w:hAnsi="仿宋_GB2312" w:cs="仿宋_GB2312" w:eastAsia="仿宋_GB2312"/>
        </w:rPr>
        <w:t>详见附件：承诺书（格式）</w:t>
      </w:r>
    </w:p>
    <w:p>
      <w:pPr>
        <w:pStyle w:val="null3"/>
        <w:ind w:firstLine="960"/>
      </w:pPr>
      <w:r>
        <w:rPr>
          <w:rFonts w:ascii="仿宋_GB2312" w:hAnsi="仿宋_GB2312" w:cs="仿宋_GB2312" w:eastAsia="仿宋_GB2312"/>
        </w:rPr>
        <w:t>详见附件：资格审查证明文件</w:t>
      </w:r>
    </w:p>
    <w:p>
      <w:pPr>
        <w:pStyle w:val="null3"/>
        <w:ind w:firstLine="960"/>
      </w:pPr>
      <w:r>
        <w:rPr>
          <w:rFonts w:ascii="仿宋_GB2312" w:hAnsi="仿宋_GB2312" w:cs="仿宋_GB2312" w:eastAsia="仿宋_GB2312"/>
        </w:rPr>
        <w:t>详见附件：施工技术响应</w:t>
      </w:r>
    </w:p>
    <w:p>
      <w:pPr>
        <w:pStyle w:val="null3"/>
        <w:ind w:firstLine="960"/>
      </w:pPr>
      <w:r>
        <w:rPr>
          <w:rFonts w:ascii="仿宋_GB2312" w:hAnsi="仿宋_GB2312" w:cs="仿宋_GB2312" w:eastAsia="仿宋_GB2312"/>
        </w:rPr>
        <w:t>详见附件：业绩</w:t>
      </w:r>
    </w:p>
    <w:p>
      <w:pPr>
        <w:pStyle w:val="null3"/>
        <w:ind w:firstLine="960"/>
      </w:pPr>
      <w:r>
        <w:rPr>
          <w:rFonts w:ascii="仿宋_GB2312" w:hAnsi="仿宋_GB2312" w:cs="仿宋_GB2312" w:eastAsia="仿宋_GB2312"/>
        </w:rPr>
        <w:t>详见附件：服务承诺</w:t>
      </w:r>
    </w:p>
    <w:p>
      <w:pPr>
        <w:pStyle w:val="null3"/>
        <w:ind w:firstLine="960"/>
      </w:pPr>
      <w:r>
        <w:rPr>
          <w:rFonts w:ascii="仿宋_GB2312" w:hAnsi="仿宋_GB2312" w:cs="仿宋_GB2312" w:eastAsia="仿宋_GB2312"/>
        </w:rPr>
        <w:t>详见附件：供应商认为有必要说明的事宜（若有）</w:t>
      </w:r>
    </w:p>
    <w:p>
      <w:pPr>
        <w:pStyle w:val="null3"/>
        <w:ind w:firstLine="960"/>
      </w:pPr>
      <w:r>
        <w:rPr>
          <w:rFonts w:ascii="仿宋_GB2312" w:hAnsi="仿宋_GB2312" w:cs="仿宋_GB2312" w:eastAsia="仿宋_GB2312"/>
        </w:rPr>
        <w:t>详见附件：拒绝政府采购领域商业贿赂承诺书</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详见附件：合同.docx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12" Target="media/image6.png" Type="http://schemas.openxmlformats.org/officeDocument/2006/relationships/image"/><Relationship Id="rId13" Target="media/image7.png" Type="http://schemas.openxmlformats.org/officeDocument/2006/relationships/image"/><Relationship Id="rId14" Target="media/image8.png" Type="http://schemas.openxmlformats.org/officeDocument/2006/relationships/image"/><Relationship Id="rId15" Target="media/image9.png" Type="http://schemas.openxmlformats.org/officeDocument/2006/relationships/image"/><Relationship Id="rId16" Target="media/image10.png" Type="http://schemas.openxmlformats.org/officeDocument/2006/relationships/image"/><Relationship Id="rId17" Target="media/image11.png" Type="http://schemas.openxmlformats.org/officeDocument/2006/relationships/image"/><Relationship Id="rId18" Target="media/image12.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