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版本号：RDX-ZB2025第007号20250427002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汉江监狱监狱医院医疗废水处理站建设项目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RDX-ZB2025第007号</w:t>
      </w:r>
      <w:r>
        <w:br/>
      </w:r>
      <w:r>
        <w:br/>
      </w:r>
      <w:r>
        <w:br/>
      </w:r>
    </w:p>
    <w:p>
      <w:pPr>
        <w:pStyle w:val="null3"/>
        <w:jc w:val="center"/>
        <w:outlineLvl w:val="2"/>
      </w:pPr>
      <w:r>
        <w:rPr>
          <w:rFonts w:ascii="仿宋_GB2312" w:hAnsi="仿宋_GB2312" w:cs="仿宋_GB2312" w:eastAsia="仿宋_GB2312"/>
          <w:sz w:val="28"/>
          <w:b/>
        </w:rPr>
        <w:t>陕西省汉江监狱</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陕西省汉江监狱</w:t>
      </w:r>
      <w:r>
        <w:rPr>
          <w:rFonts w:ascii="仿宋_GB2312" w:hAnsi="仿宋_GB2312" w:cs="仿宋_GB2312" w:eastAsia="仿宋_GB2312"/>
        </w:rPr>
        <w:t>委托，拟对</w:t>
      </w:r>
      <w:r>
        <w:rPr>
          <w:rFonts w:ascii="仿宋_GB2312" w:hAnsi="仿宋_GB2312" w:cs="仿宋_GB2312" w:eastAsia="仿宋_GB2312"/>
        </w:rPr>
        <w:t>汉江监狱监狱医院医疗废水处理站建设项目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RDX-ZB2025第007号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汉江监狱监狱医院医疗废水处理站建设项目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陕西省汉江监狱建设监狱医院医疗废水处理站，包含：医疗废水处理池建设、配套设备采购、地下管网和室内电路改造、破损地面恢复并补充防滑措施等。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采购包1（陕西省汉江监狱医院医疗废水处理站建设项目）：属于专门面向中小企业采购。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1、投标人授权：投标人应授权合法的人员参加投标全过程，其中法定代表人直接参加投标的，须出具法人身份证原件，法定代表人授权代表参加投标的，须出具法定代表人授权书及授权代表身份证。</w:t>
      </w:r>
    </w:p>
    <w:p>
      <w:pPr>
        <w:pStyle w:val="null3"/>
      </w:pPr>
      <w:r>
        <w:rPr>
          <w:rFonts w:ascii="仿宋_GB2312" w:hAnsi="仿宋_GB2312" w:cs="仿宋_GB2312" w:eastAsia="仿宋_GB2312"/>
        </w:rPr>
        <w:t>2、投标人资质：投标人须具备建设主管部门颁发的市政公用工程施工总承包三级及以上资质，且具有合格有效的安全生产许可证。</w:t>
      </w:r>
    </w:p>
    <w:p>
      <w:pPr>
        <w:pStyle w:val="null3"/>
      </w:pPr>
      <w:r>
        <w:rPr>
          <w:rFonts w:ascii="仿宋_GB2312" w:hAnsi="仿宋_GB2312" w:cs="仿宋_GB2312" w:eastAsia="仿宋_GB2312"/>
        </w:rPr>
        <w:t>3、拟派项目负责人资质和专业要求：项目负责人须具备市政公用工程专业二级及以上注册建造师执业资格，具有有效的安全生产考核合格证，且无在建工程(提供承诺书），在本单位注册（提供近三个月其在本单位社保缴纳的证明）。</w:t>
      </w:r>
    </w:p>
    <w:p>
      <w:pPr>
        <w:pStyle w:val="null3"/>
      </w:pPr>
      <w:r>
        <w:rPr>
          <w:rFonts w:ascii="仿宋_GB2312" w:hAnsi="仿宋_GB2312" w:cs="仿宋_GB2312" w:eastAsia="仿宋_GB2312"/>
        </w:rPr>
        <w:t>4、信用记录：不得为“信用中国(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陕西省汉中市北郊十里村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09168185265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李雪丽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陕西省汉江监狱</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陕西省汉江监狱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陕西省汉江监狱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地址：汉中市汉台区南关正街汉上第一街12＃楼2309室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建设监狱医院医疗废水处理站，包含：医疗废水处理池建设、配套设备采购、地下管网和室内电路改造、破损地面恢复并补充防滑措施等。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811,000.00</w:t>
      </w:r>
    </w:p>
    <w:p>
      <w:pPr>
        <w:pStyle w:val="null3"/>
      </w:pPr>
      <w:r>
        <w:rPr>
          <w:rFonts w:ascii="仿宋_GB2312" w:hAnsi="仿宋_GB2312" w:cs="仿宋_GB2312" w:eastAsia="仿宋_GB2312"/>
        </w:rPr>
        <w:t>采购包最高限价（元）: 810,830.58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医疗废水处理站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标的名称：医疗废水处理站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详见附件“工程量清单”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陕西省汉江监狱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合同签订后支付工程预付款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在本项目完工交付使用且竣工验收合格、竣工资料完整移交后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项目结算审核完成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项目按期完工，达到国家现行验收规范“合格”标准。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质保期参考国家行业标准，具体部分设备质保期以施工图为准，保修期自竣工验收合格之日算起。</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 （1）投标报价是其响应本项目要求的全部工作内容的价格体现，包括投标人完成本项目所需的一切费用。 （2）投标人应按采购文件及工程量清单编制要求，逐一列出报价的构成及明细，并提供已标价工程量清单。已标价工程量清单的扉页（仅指投标总价扉页）应由注册或登记在本单位的造价人员签字并盖执业印章。 （3）投标人提交的已标价工程量清单应符合本项目工程量清单以及清单说明的要求。当投标人的已标价工程量清单有下列情形之一的，应按照无效响应文件处理。 a.投标人对工程量清单中的分部分项工程量清单项目（说明：根据建筑、水利、交通等确定具体表述）的单价未填报或填报为零的，视为未完全响应工程量清单，作无效处理； b.已标价工程量清单的项目编码、项目名称、项目特征（与采购人提供的工程量清单中的项目特征的实质性内容一致的除外）、计量单位、工程量与采购人提供的工程量清单不一致的； c.采购文件已明确各单位工程安全文明施工费中的环境保护费、文明施工费、安全施工费、临时设施费金额并要求按此金额填报而投标人填报错误或未填报的，或投标人未按相关计价规定计取安全文明施工费的； d.采购文件已明确各单位工程规费金额并要求按此金额填报而投标人填报错误或未填报的，或投标人未按相关计价规定计取规费的； e.采购文件若已明确创优质工程奖补偿奖励费金额并要求按此金额填报而投标人填报错误或未填报的； f.已标价工程量清单中暂列金额未按工程量清单中列明的金额填报的； g.已标价工程量清单中材料、工程设备暂估价未按工程量清单中列出的单价计入综合单价的； h.已标价工程量清单中专业工程暂估价未按工程量清单中列明的金额填写的； i.已标价工程量清单中计日工未按工程量清单中列明的数量进行报价的； j.单价、合价或总价，不论其大写金额或小写金额均只能有一个，否则，作无效处理。 （4）投标人报价超过政府采购预算或最高限价（金额详见“第三章 采购内容”）的，其投标响应文件按无效处理。 2、中标人领取中标通知书时，须提交纸质投标文件正本壹份、副本贰份、电子版壹份（U盘壹份注明单位名称）编辑目录和页码，内容和通过电子化交易平台实施的政府采购项目提交的投标文件一致。纸质投标文件正副本分别胶装（投标文件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投标人具有独立承担民事责任能力的法人、其他组织或自然人，并出具合法有效的营业执照或事业单位法人证书等国家规定的相关证明，自然人参与的提供其身份证明；（2）财务状况报告：提供2023或2024年度经审计的财务报告（包括“四表一注”，即资产负债表、利润表、现金流量表、所有者权益变动表及其附注，成立时间至提交投标文件截止时间不足一年的可提供成立后任意时段的资产负债表），或开标前六个月内其基本存款账户开户银行出具的资信证明（附开户许可证或开户备案证明或基本账户信息）； （3）税收缴纳证明：提供2024年10月至今已缴纳至少一个月的依法缴纳税款的相关凭据（时间以税款所属日期为准），凭据应有税务机关或代收机关的公章或业务专用章，依法免税或无须缴纳税款的投标人，应提供相关证明文件； （4）提供2024年10月至今已缴存的至少一个月的社会保障资金缴存单据或社保机构开具的社会保险参保缴费情况证明，依法不需要缴纳社会保障资金的单位应提供相关证明材料； （5）无重大违法记录声明：参加政府采购活动近3年内，在经营活动中没有重大违法记录的书面声明； （6）专业技术能力证明：具备履行合同所必需的设备和专业技术能力的证明材料(由投标人承诺函)； （7）本项目不接受联合体磋商，提供书面承诺。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投标人授权</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投标人应授权合法的人员参加投标全过程，其中法定代表人直接参加投标的，须出具法人身份证原件，法定代表人授权代表参加投标的，须出具法定代表人授权书及授权代表身份证。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投标人须具备建设主管部门颁发的市政公用工程施工总承包三级及以上资质，且具有合格有效的安全生产许可证。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项目负责人须具备市政公用工程专业二级及以上注册建造师执业资格，具有有效的安全生产考核合格证，且无在建工程(提供承诺书），在本单位注册（提供近三个月其在本单位社保缴纳的证明）。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本项目专门面向中小企业采购，仅限符合《政府采购促进中小企业发展管理办法》（财库〔2020〕46号）条件的中小企业参与，提供中小企业声明函。</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已标价工程量清单.docx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投标文件的编制</w:t>
            </w:r>
          </w:p>
        </w:tc>
        <w:tc>
          <w:tcPr>
            <w:tcW w:type="dxa" w:w="3322"/>
          </w:tcPr>
          <w:p>
            <w:pPr>
              <w:pStyle w:val="null3"/>
            </w:pPr>
            <w:r>
              <w:rPr>
                <w:rFonts w:ascii="仿宋_GB2312" w:hAnsi="仿宋_GB2312" w:cs="仿宋_GB2312" w:eastAsia="仿宋_GB2312"/>
              </w:rPr>
              <w:t>应符合投标文件的编制及格式要求；</w:t>
            </w:r>
          </w:p>
        </w:tc>
        <w:tc>
          <w:tcPr>
            <w:tcW w:type="dxa" w:w="1661"/>
          </w:tcPr>
          <w:p>
            <w:pPr>
              <w:pStyle w:val="null3"/>
            </w:pPr>
            <w:r>
              <w:rPr>
                <w:rFonts w:ascii="仿宋_GB2312" w:hAnsi="仿宋_GB2312" w:cs="仿宋_GB2312" w:eastAsia="仿宋_GB2312"/>
              </w:rPr>
              <w:t>开标一览表 已标价工程量清单.docx 产品技术参数表 投标函 商务应答表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应符合投标文件的签署及盖章规定；</w:t>
            </w:r>
          </w:p>
        </w:tc>
        <w:tc>
          <w:tcPr>
            <w:tcW w:type="dxa" w:w="1661"/>
          </w:tcPr>
          <w:p>
            <w:pPr>
              <w:pStyle w:val="null3"/>
            </w:pPr>
            <w:r>
              <w:rPr>
                <w:rFonts w:ascii="仿宋_GB2312" w:hAnsi="仿宋_GB2312" w:cs="仿宋_GB2312" w:eastAsia="仿宋_GB2312"/>
              </w:rPr>
              <w:t>开标一览表 已标价工程量清单.docx 产品技术参数表 投标函 商务应答表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按照招标文件的规定提供了投标保证金；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完全响应招标文件要求的各项技术（服务）、商务实质性条款，不能有任何采购人不能接受的附加条件。</w:t>
            </w:r>
          </w:p>
        </w:tc>
        <w:tc>
          <w:tcPr>
            <w:tcW w:type="dxa" w:w="1661"/>
          </w:tcPr>
          <w:p>
            <w:pPr>
              <w:pStyle w:val="null3"/>
            </w:pPr>
            <w:r>
              <w:rPr>
                <w:rFonts w:ascii="仿宋_GB2312" w:hAnsi="仿宋_GB2312" w:cs="仿宋_GB2312" w:eastAsia="仿宋_GB2312"/>
              </w:rPr>
              <w:t>开标一览表 已标价工程量清单.docx 产品技术参数表 中小企业声明函.docx 投标函 残疾人福利性单位声明函 商务应答表 投标文件封面 资格证明文件.docx 其他相关资料.docx 监狱企业的证明文件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投标人能充分了解本项目需求和实施特点，理解本项目的采购需求，制定项目实施方案: 方案编制思路清晰、能充分理解项目需求，措施完善，科学可行的计【10～7】分；方案编制思路较清晰，能保证项目实施的计【6.9～4】分；方案编制思路简单，基本能保证项目实施的计【3.9～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投标人针对本项目制定具体的专业技术人员配置及具有相关经验的实施人员安排方案，制定详细的施工机械配备投入计划方案。方案科学详细、全面计【8～5】分；方案基本合理可行计【4.9～3】分，方案欠缺、无实质性内容【2.9～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投标人针对本项目制定的质量控制措施有力，完善可行，有具体的质量管理控制措施和目标，可操作性强的计【9～6】分；质量管理控制措施和目标简单明确，基本符合项目需求计【5.9～3】分；质量管理控制措施和目标有欠缺的计【2.9～0】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投标人针对本项目制定的安全保障措施合理，完善可行，有具体的安全保障措施，可操作性强的计【8～5】分；措施简单明确，基本符合项目需求计【4.9～3】分；安全保障措施有有欠缺的计【2.9～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投标人针对本项目制定的进度保障措施有力，完善可行，有具体的进度计划和保障措施，可操作性强的计【8～5】分；进度计划和保障措施简单明确，基本符合项目需求计【4.9～3】分；进度计划和保障措施有欠缺的计【2.9～0】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投标人针对本项目制定的措施方案，包括但不限于文明施工措施及环境保护措施。措施内容合理、完善可行、可操作性强的计【5～3】分；措施基本可行、可操作性有欠缺的计【2.9～0】分；未提供不计分。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事故应急预案</w:t>
            </w:r>
          </w:p>
        </w:tc>
        <w:tc>
          <w:tcPr>
            <w:tcW w:type="dxa" w:w="2492"/>
          </w:tcPr>
          <w:p>
            <w:pPr>
              <w:pStyle w:val="null3"/>
            </w:pPr>
            <w:r>
              <w:rPr>
                <w:rFonts w:ascii="仿宋_GB2312" w:hAnsi="仿宋_GB2312" w:cs="仿宋_GB2312" w:eastAsia="仿宋_GB2312"/>
              </w:rPr>
              <w:t>确保项目正常实施的协调工作及在施工过程中发生紧急情况时的应急措施，能够针对本项目可能出现的问题及重大事故，有具体可行的应急措施和解决方案，措施及方案有针对性可操作性强的计【5～3】分；措施及方案有欠缺的计【2.9～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后期服务承诺</w:t>
            </w:r>
          </w:p>
        </w:tc>
        <w:tc>
          <w:tcPr>
            <w:tcW w:type="dxa" w:w="2492"/>
          </w:tcPr>
          <w:p>
            <w:pPr>
              <w:pStyle w:val="null3"/>
            </w:pPr>
            <w:r>
              <w:rPr>
                <w:rFonts w:ascii="仿宋_GB2312" w:hAnsi="仿宋_GB2312" w:cs="仿宋_GB2312" w:eastAsia="仿宋_GB2312"/>
              </w:rPr>
              <w:t>投标人对本项目后期服务配合的承诺及具体措施，有利于本项目后期服务的开展。承诺措施合理、完善、可行，具有可操作性得【5~3】分；承诺措施较合理、完善、可行【2.9~0】分；未提供不计分。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拟派项目负责人具有工程类相关专业高级技术职称得4分，中级技术职称得2分，初级技术职称得1分，其它情况不得分。（以加盖公章的职称证复印件为准)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投标人提供2022年至今具有类似项目施工业绩，每提供一个合格业绩证明材料得2分，满分8分，未提供不计分。（业绩以加盖公章的合同协议书复印件为准)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1、上限为采购最高限价，即报价大于上限价视为无效标； 2、满足招标文件要求的有效报价中，投标价格最低的投标报价为评标基准价，其价格分为满分30分； 3、其他投标人的价格分统一按照下列公式计算：投标报价得分=（评标基准价/投标报价）*30。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详见附件：项目团队人员情况表.docx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