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版本号：0617-2512FZ066720250512002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购买医疗服务项目(二次)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0617-2512FZ0667</w:t>
      </w:r>
      <w:r>
        <w:br/>
      </w:r>
      <w:r>
        <w:br/>
      </w:r>
      <w:r>
        <w:br/>
      </w:r>
    </w:p>
    <w:p>
      <w:pPr>
        <w:pStyle w:val="null3"/>
        <w:jc w:val="center"/>
        <w:outlineLvl w:val="5"/>
      </w:pPr>
      <w:r>
        <w:rPr>
          <w:rFonts w:ascii="仿宋_GB2312" w:hAnsi="仿宋_GB2312" w:cs="仿宋_GB2312" w:eastAsia="仿宋_GB2312"/>
          <w:sz w:val="15"/>
          <w:b/>
        </w:rPr>
        <w:t>陕西省眉县强制隔离戒毒所</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陕西省眉县强制隔离戒毒所</w:t>
      </w:r>
      <w:r>
        <w:rPr>
          <w:rFonts w:ascii="仿宋_GB2312" w:hAnsi="仿宋_GB2312" w:cs="仿宋_GB2312" w:eastAsia="仿宋_GB2312"/>
        </w:rPr>
        <w:t>委托，拟对</w:t>
      </w:r>
      <w:r>
        <w:rPr>
          <w:rFonts w:ascii="仿宋_GB2312" w:hAnsi="仿宋_GB2312" w:cs="仿宋_GB2312" w:eastAsia="仿宋_GB2312"/>
        </w:rPr>
        <w:t>购买医疗服务项目(二次)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0617-2512FZ0667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购买医疗服务项目(二次)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传染病院（特殊病专管区）2025年医疗服，1年。对陕西省眉县强制隔离戒毒所传染病院（特殊病专管区）医疗服务进行运营管理。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1、医疗机构执业许可：供应商具有行政监督部门颁发的《医疗机构执业许可证》</w:t>
      </w:r>
    </w:p>
    <w:p>
      <w:pPr>
        <w:pStyle w:val="null3"/>
      </w:pPr>
      <w:r>
        <w:rPr>
          <w:rFonts w:ascii="仿宋_GB2312" w:hAnsi="仿宋_GB2312" w:cs="仿宋_GB2312" w:eastAsia="仿宋_GB2312"/>
        </w:rPr>
        <w:t>2、具有传染病救治能力和二级乙等或以上医疗资质：具有传染病救治能力和二级乙等或以上医疗资质。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陕西省眉县强制隔离戒毒所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陕西省眉县首善街道第五村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722312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0917-5613052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吴乐平、唐丽娜、衣冯源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029-85235058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采购包1：8,605,000.00元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采购包1：8,605,000.00元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代理服务费收费标准：参照原《国家计委关于印发&lt;招标代理服务收费管理暂行办法&gt;的通知》（计价格﹝2002﹞1980号）规定的标准下浮20%执行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陕西省眉县强制隔离戒毒所</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陕西省眉县强制隔离戒毒所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综合绩效考核</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传染病院（特殊病专管区）</w:t>
      </w:r>
      <w:r>
        <w:rPr>
          <w:rFonts w:ascii="仿宋_GB2312" w:hAnsi="仿宋_GB2312" w:cs="仿宋_GB2312" w:eastAsia="仿宋_GB2312"/>
          <w:sz w:val="21"/>
        </w:rPr>
        <w:t>2025</w:t>
      </w:r>
      <w:r>
        <w:rPr>
          <w:rFonts w:ascii="仿宋_GB2312" w:hAnsi="仿宋_GB2312" w:cs="仿宋_GB2312" w:eastAsia="仿宋_GB2312"/>
          <w:sz w:val="21"/>
        </w:rPr>
        <w:t>年医疗服务，</w:t>
      </w:r>
      <w:r>
        <w:rPr>
          <w:rFonts w:ascii="仿宋_GB2312" w:hAnsi="仿宋_GB2312" w:cs="仿宋_GB2312" w:eastAsia="仿宋_GB2312"/>
          <w:sz w:val="21"/>
        </w:rPr>
        <w:t>1</w:t>
      </w:r>
      <w:r>
        <w:rPr>
          <w:rFonts w:ascii="仿宋_GB2312" w:hAnsi="仿宋_GB2312" w:cs="仿宋_GB2312" w:eastAsia="仿宋_GB2312"/>
          <w:sz w:val="21"/>
        </w:rPr>
        <w:t>年。对陕西省眉县强制隔离戒毒所传染病院（特殊病专管区）医疗服务进行运营管理。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8,605,000.00</w:t>
      </w:r>
    </w:p>
    <w:p>
      <w:pPr>
        <w:pStyle w:val="null3"/>
      </w:pPr>
      <w:r>
        <w:rPr>
          <w:rFonts w:ascii="仿宋_GB2312" w:hAnsi="仿宋_GB2312" w:cs="仿宋_GB2312" w:eastAsia="仿宋_GB2312"/>
        </w:rPr>
        <w:t>采购包最高限价（元）: 8,605,000.00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购买医疗服务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标的名称：购买医疗服务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对陕西省眉县强制隔离戒毒所传染病院（特殊病专管区）医疗服务进行运营管理；医治对象为全省司法行政戒毒系统患有乙肝、丙肝、肺结核、艾滋病等传染病的戒毒人员（含女性戒毒人员）；专管区及附属设施建筑面积4280平米，按二级乙等传染病院建设；一楼设放射、心电图、B超、化验室、药房、洗衣房、中心供应室、病案室等；二、三楼共设四个病区，共计病床118张；</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2、供应商的运营管理包括：(1)传染病疫情管理；（2）医疗质量和医疗安全；（3）护理服务和心理疏导；（4）医院感染控制；（5）后勤保障；（6）信息化建设；（7）财务运营管理；（8）设备维护和保养</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3、供应商根据楼层分布、医疗对象设置相关科室及管理机构，进行医务人员、护理人员、管理人员、辅助人员的配备，列出人员的职务、职称，并出具相关证件及资质；</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4、列出病区运行所需工作流程、管理流程及相关制度；</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5、针对治疗对象拟采用的治疗方案及预先达到的效果。</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二、服务标准</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1、通过项目实施提高全省司法行政戒毒系统戒毒人员传染病防治水平，各项服务达到行业标准和规定。</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2、医院（特殊病专管区）的运行、管理、考评达到传染病专科医院的标准，在其职责范围内提供医疗服务，承担医疗责任；</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3、病房运行与医技保障应充分考虑本项目特殊要求，在保证基本医疗用药的基础上，严格流程规范操作，符合本项目的治疗体系，使戒毒人员的传染病况得以稳定，稳定率达90％以上；</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4、对戒毒人员的传染病情实行预诊、分诊制度，准确率达90％以上；</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5、戒毒人员医疗档案及时、规范，在规定时限内上报，电子化档案率达90％以上；</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1、依据《传染病防治法》、《传染病管理办法》做好院内防治及疫情报告，接受卫生行政部门监督。</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2、收治范围和标准。</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收治范围为全省司法行政戒毒场所及公安戒毒场所患下列特殊疾病戒毒人员。第一诊断必须是经二级甲等以上医疗机构确诊的传染病（乙肝、丙肝、艾滋病、肺结核）。患者入院需提供上述医疗机构近一周内的检验检查结果。慢性传染病处于病情活动期。</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存在下列情形之一者不能收住专管病区：病情危重、危及生命者。所患病超出本专管区医疗救治范围和能力的患者。生活不能自理的患者。病情严重需要生命支持的患者。吞食异物患者。其他不适宜在专管病区治疗的戒毒人员。</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3、出院标准。病情进入恢复期，传染性基本消失（日常接触无传染性）。乙肝、丙肝、艾滋病只做基本治疗，修复器官功能， 临床症状明显好转或基本消失，实验室检查基本正常或接近正常，达到临床治愈标准即可出院。肺结核临床症状明显好转或基本消失，痰液病原检查连续两次阴性即可出院，检查间隔48小时以上。治疗期间患者病情变化超出专管病区救治能力，按程序请示省戒毒局并及时转院。眉县强制隔离戒毒所传染病医院患者在收治期间死亡的，按照《强制隔离戒毒人员死亡处理规定》进行调查处理。原决定机关和死亡人员居住地、户籍所在地政府相关部门应当与强制隔离戒毒所共同做好死亡人员善后处理工作。</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4、机构设置要求。设置检验科、放射科、功能科、药剂科等4个医技科室和含乙肝病区、丙肝病区、肺结核及艾滋病病区的1个临床科室，床位设置118张。</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5、岗位工作职责要求</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 感染性疾病科工作人员职责</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医师职责。在科主任领导下，根据工作能力，负责一定数量患者的医疗工作。对患者进行检查、诊断、治疗，开写医嘱并检查其执行情况。书写病历。新入院患者的病历，一般应在患者入院后24小时内完成，负责患者住院期间的病程记录，及时完成出院患者病历归档工作。及时向上级医师及科主任报告诊断、治疗上的困难以及患者病情的变化，提出需要转科或出院的意见。对所管患者应全面负责，在下班前作好交班工作。对需要特殊观察的重症患者，用口头方式向值班医师交班。参加科内查房。对所管患者每天至少上、下午各巡诊一次。科主任、主治医师查房（巡诊）时，应详细汇报患者的病情和诊疗意见。认真执行各项规章制度和技术操作常规，亲自操作或指导护士进行各种重要的检查和治疗，严防差错事故。认真学习、运用国内外的先进医学科学技术，积极开展新技术、新业务，及时总结经验。随时了解患者的思想、生活情况，征求患者对医疗工作的意见，做好患者的思想工作。遵守医德规范和行业纪律，廉洁行医，定期参加医德医风考评。</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护士职责。在科主任、护士长的领导下进行工作。认真执行各项护理制度和技术操作规程，正确执行医嘱，准确及时地完成各项护理工作，认真执行护理查对制度及交接班制度，防止差错、事故的发生。应用护理程序，对患者进行身心的、社会的、文化的全方位的护理。做好基础护理和专科护理，密切观察病情，记录病情变化，如发现异常情况须及时报告。认真做好危重患者的护理及抢救工作、各种抢救物品和药品准备工作。参加科室护理查房、会诊和疑难病例讨论及差错事故分析。参与科室护理质控工作，协助护士长做好病区护理质量管理工作。积极参与科室护理教学、业务培训、护理科研等工作。保持病房安静、清洁、整齐。</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 检验科工作人员职责。严格执行岗位责任制、各项规章制度及技术操作规程，严防发生差错事故。接收标本时严格执行《标本管理制度》和《不合格标本拒收制度》，不符合要求的应重新采集。对不能立即检验的标本，要妥善保管，普通检验于当日发出报告。急诊随到随查，及时报告。认真核对检验结果，对于与临床诊断不符合或有可疑结果时，应主动与临床科室联系，重新检查，发现检验结果以外的阳性结果，应主动报告。各种检验的原始资料妥善保管。特殊标本发出报告后保留24小时，一般常规标本和用品应及时处理。对有传染性的标本归为传染性医疗废物处理，防止交叉感染。为了确保检验质量，所有仪器设备要定期维护并做好日常运行保养记录。按规定做好室内质控，绘制质控图。每月做检验试剂、消耗用品的计划。做好实验室清洁消毒工作，保持实验室整洁安静。 接待患者和送检标本的医务人员及查询检验结果要热情，认真负责。</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 放射科岗位职责（X线摄影室）。非工作人员不得进入操作间，工作期间不得在机房内喧哗，保持工作环境安静。进行X线摄影检查前，应仔细核对病人姓名，性别，年龄，科室，床号，ID号、住院号，摄片部位和检查号码是否准确。病人重名重姓时要严防错号、重号。除去病人身上金属、膏药等异物。对检查有不明之处及时请示本科上级医（技）师，或与临床科室取得联系。严格按照机器操作规程操作，爱护设备，机器出现故障时，及时报告设备科进行维修，同时报告科主任。非本机操作人员未经许可严禁操作使用。做好患者检查登记工作，应记录患者的姓名、性别、年龄、科室、曝光参数、摄片张数、检查日期等相关信息。</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5.4 超声影像科岗位职责（超声室和心电图室）。工作人员着装整齐，佩戴工作牌。检查时核对患者信息，避免差错发生。急危重症患者优先检查，检查时需有临床医护陪同。及时准确出具检查报告，常规检查完毕后30分钟内出具报告，急诊检查完毕后10分钟内出具报告。报告书写应术语规范，遇疑难问题随时与临床医师沟通。严格遵守诊疗规范，特殊情况向上级请示和向临床反馈。严格执行设备操作规程，仪器出现故障须及时报修。诊室应保持清洁、安静、注意用水、用电安全。</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5.5 药剂科工作岗位职责</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（1）调配处方。病房护士把患者医嘱输入计算机，打印领药单，药房接到信息后按操作程序，进行调配、摆药、签字；护士核对无误签字后方可领药。 住院患者口服药一律不退药（特殊情况如患者意外死亡等），如有退药，药剂人员收药时查看效期、批号、生产厂家，询问药品储存条件，符合要求方可退药。)麻醉药品、一类精神药品按照 《麻醉药品和精神药品管理条例》，凭麻醉药品和一类精神药品的专用处方取药。遇有药品用法、用量不妥或有配伍禁忌等不合格处方时，由调配人员与医师联系，更改后再行调配，调配人员无权私自更改处方。</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（2）药品管理。 ① 麻醉药品按照《麻醉药品和精神药品管理条例》实行专人负责、专柜加锁、专用账册、专用处方、专册登记的五专管理。领药：管理麻醉药品账目的人员定期用麻醉药品领药本及局域网打印的申请单领药，由药库双人送药。领药后认真核对、清点。 使用：麻醉药品实行基数管理，并储存于保险柜中。常用麻醉药品留出一定基数，并建立基数登记本；同时各病房麻醉药品也建立基数登记本，麻醉药品由专人管理。值班人员（病房、药房）实行交接班制度，按基数登记本进行清点。 ② 药品的保存。按照药品包装上所标示的效期进行管理，效期在6个月内的不入库，在3个月内的不进药房，近期先用，不积压药品。依照药品包装及说明书的要求，须2℃ 一 8℃冷藏保存的药品要存放于冰箱中，须冰冻、避光的药品严格按要求存放。各病房小药柜中的药品品种，根据各病房情况建立药品基数，患者用药后，由护士输入计算机，药房根据领药需求补充基数。</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（3）账目管理。① 领药。药房凭申请单向药库领药。领药单要选择正确的药品、规格、剂量、数量。 遇有临时用药及抢救用药应立即去药库领取，并通知临床科室及时取药。② 入账。将每天领用的药品及时入账审核确认，入账时要审核领药时间、入库单号、入库数量、药品的生产批号及厂家。③ 结账。每月最后一天盘点药品（麻醉药品每日逐一销账）。盘点时清点药品要准确，做到账物相符。④ 药品质量。设立药房药品质量检查员和药品质量登记簿。每月检查药房药品质量（如近效期药品），并做好记录，按规定及时处理近效期药品。⑤遵纪守法，认真负责做好每项工作，上班时间不得脱岗；其他人员非公不得进入工作区域。</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5.6 财务岗位工作职责。制定财务岗位工作相应职责。</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5.7 其他岗位要求。</w:t>
            </w: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（1）保洁人员兼污水站工作，每次提前一个小时上班打扫卫生后，进入污水处理站进行污水处理工作，污水站每天一人值班。</w:t>
            </w:r>
          </w:p>
        </w:tc>
      </w:tr>
      <w:tr>
        <w:tc>
          <w:tcPr>
            <w:tcW w:type="dxa" w:w="2769"/>
          </w:tcPr>
          <w:p>
            <w:pPr>
              <w:pStyle w:val="null3"/>
            </w:pPr>
            <w:r>
              <w:rPr>
                <w:rFonts w:ascii="仿宋_GB2312" w:hAnsi="仿宋_GB2312" w:cs="仿宋_GB2312" w:eastAsia="仿宋_GB2312"/>
              </w:rPr>
              <w:t>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（2）水电进行24小时保障。</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（3）医院洗衣房。当日收取，次日下送。</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管理制度。建立首诊负责制度、三级查房制度、会诊制度、分级护理制度、值班和交接班制度、疑难病例讨论制度、急危重患者抢救制度、术前讨论制度、死亡病例讨论制度、查对制度、手术安全核查制度、手术分级管理制度、新技术和新项目准入制度、危急值报告制度、病历管理制度、抗菌药物分级管理制度、临床用血审核制度、信息安全管理制度</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四、购买服务费用。包括：人员支出、卫生材料费、药品费、维修（护）费、分摊管理费（前4项合计的10%分摊，含办公费、水费、电费、取暖费、车辆运行维护费，职工后勤保障和医疗废物处理）。</w:t>
            </w:r>
          </w:p>
          <w:p>
            <w:pPr>
              <w:pStyle w:val="null3"/>
            </w:pPr>
            <w:r>
              <w:rPr>
                <w:rFonts w:ascii="仿宋_GB2312" w:hAnsi="仿宋_GB2312" w:cs="仿宋_GB2312" w:eastAsia="仿宋_GB2312"/>
              </w:rPr>
              <w:t>购买服务费用包含供应商与陕西省女强制隔离戒毒所医疗服务常态化协作机制费用。</w:t>
            </w:r>
          </w:p>
        </w:tc>
      </w:tr>
      <w:tr>
        <w:tc>
          <w:tcPr>
            <w:tcW w:type="dxa" w:w="2769"/>
          </w:tcPr>
          <w:p>
            <w:pPr>
              <w:pStyle w:val="null3"/>
            </w:pPr>
            <w:r>
              <w:rPr>
                <w:rFonts w:ascii="仿宋_GB2312" w:hAnsi="仿宋_GB2312" w:cs="仿宋_GB2312" w:eastAsia="仿宋_GB2312"/>
              </w:rPr>
              <w:t>38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五、服务期限。本次项目服务期限为合同签订后12个月（2025年度），服务期内无医疗服务质量问题，采购人经财政部门批准，可与成交单位续签两年服务合同。</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六、绩效评估</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1、建立由购买主体、甲方、服务对象等综合绩效考核机制，建立绩效考评指标体系和绩效目标考核体系，考评指标细分为医疗体系指标和服务体系指标。</w:t>
            </w:r>
          </w:p>
        </w:tc>
      </w:tr>
      <w:tr>
        <w:tc>
          <w:tcPr>
            <w:tcW w:type="dxa" w:w="2769"/>
          </w:tcPr>
          <w:p>
            <w:pPr>
              <w:pStyle w:val="null3"/>
            </w:pPr>
            <w:r>
              <w:rPr>
                <w:rFonts w:ascii="仿宋_GB2312" w:hAnsi="仿宋_GB2312" w:cs="仿宋_GB2312" w:eastAsia="仿宋_GB2312"/>
              </w:rPr>
              <w:t>41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2、以综合绩效考核为依据，对承接主体进行评价，建立承接主体退出机制。若考评不合格，应退出购买服务的承接主体。</w:t>
            </w:r>
          </w:p>
        </w:tc>
      </w:tr>
      <w:tr>
        <w:tc>
          <w:tcPr>
            <w:tcW w:type="dxa" w:w="2769"/>
          </w:tcPr>
          <w:p>
            <w:pPr>
              <w:pStyle w:val="null3"/>
            </w:pPr>
            <w:r>
              <w:rPr>
                <w:rFonts w:ascii="仿宋_GB2312" w:hAnsi="仿宋_GB2312" w:cs="仿宋_GB2312" w:eastAsia="仿宋_GB2312"/>
              </w:rPr>
              <w:t>42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3、供应商建立内部人员绩效考评制度。</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配备医师及医技人员、护理人员、消毒供应人员、后勤人员。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采购人将现有的医疗设备后勤设备移交中标人使用，中标人负责维修维护。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本次项目服务期限为合同签订后12个月（2025年度），服务期内无医疗服务质量问题，采购人经财政部门批准，可与成交单位续签两年服务合同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陕西省眉县强制隔离戒毒所传染病院（特殊病专管区）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服务期过半后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甲方对乙方考核合格后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根据采购文件、响应文件、合同及国家相关标准。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（1）按《民法典》中的相关条款执行。未按合同要求提供服务不能满足本次购买要求，甲方会同监督机构、上级部门有权终止合同和对乙方违约行为 进行追究，同时按政府采购法的有关规定进行相应的处罚。（2）本合同产生的纠纷双方友好协商处理，协商不成则提交合同履行地人民法院处理。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1、付款方式为“实质性要求”。 2、服务期内无医疗服务质量问题，采购人经财政部门批准，可与中标单位续签两年服务合同。3、提供同类项目业绩合同（实质性要求）。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（1）供应商需在项目电子化交易系统中按要求填写《响应函》完成承诺并进行电子签章。 （2）具有独立承担民事责任的能力。 提供注册登记凭证（营业执照、其他组织经营的合法凭证，自然人的提供身份证明文件）。供应商需在项目电子化交易系统中按要求上传相应证明文件并进行电子签章。 （3）具有良好的商业信誉和健全的财务会计制度。提供经审计的2023年度财务报告（包括四表一注，即资产负债表、利润表、现金流量表、所有者权益变动表及其附注），且无反对意见；事业法人提供部门决算报告；/或在投标截止时间前六个月内其基本开户银行出具的资信证明（附《基本存款账户信息》或《银行开户许可证》）；/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（4）具有履行合同所必需的设备和专业技术能力。提供声明文件。供应商需在项目电子化交易系统中按要求上传相应证明文件并进行电子签章。 （5）具有依法缴纳税收的良好记录。提供缴费所属日期为投标截止时间前6个月内任一月份（协商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 （6）具有依法缴纳社会保障资金的良好记录。提供缴费所属日期为投标截止时间前6个月内任一月份（协商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 （7）参加政府采购活动前3年内在经营活动中没有重大违法记录的书面声明。供应商需在项目电子化交易系统中按要求上传相应证明文件并进行电子签章。 （8）法定代表人授权委托书或法定代表人证明书。法定代表人授权委托书（被授权代表参加）或法定代表人证明书（法定代表人直接参加），供应商需在项目电子化交易系统中按要求上传相应证明文件并进行电子签章。 （9）不接受联合体。提供非联合体投标声明函（后附格式），供应商需在项目电子化交易系统中按要求上传相应证明文件并进行电子签章。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医疗机构执业许可</w:t>
            </w:r>
          </w:p>
        </w:tc>
        <w:tc>
          <w:tcPr>
            <w:tcW w:type="dxa" w:w="3322"/>
          </w:tcPr>
          <w:p>
            <w:pPr>
              <w:pStyle w:val="null3"/>
            </w:pPr>
            <w:r>
              <w:rPr>
                <w:rFonts w:ascii="仿宋_GB2312" w:hAnsi="仿宋_GB2312" w:cs="仿宋_GB2312" w:eastAsia="仿宋_GB2312"/>
              </w:rPr>
              <w:t>供应商具有行政监督部门颁发的《医疗机构执业许可证》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具有传染病救治能力和二级乙等或以上医疗资质</w:t>
            </w:r>
          </w:p>
        </w:tc>
        <w:tc>
          <w:tcPr>
            <w:tcW w:type="dxa" w:w="3322"/>
          </w:tcPr>
          <w:p>
            <w:pPr>
              <w:pStyle w:val="null3"/>
            </w:pPr>
            <w:r>
              <w:rPr>
                <w:rFonts w:ascii="仿宋_GB2312" w:hAnsi="仿宋_GB2312" w:cs="仿宋_GB2312" w:eastAsia="仿宋_GB2312"/>
              </w:rPr>
              <w:t>具有传染病救治能力和二级乙等或以上医疗资质。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1、供应商按照采购文件要求上传响应文件；2、响应文件是否按照采购文件要求的格式编写。</w:t>
            </w:r>
          </w:p>
        </w:tc>
        <w:tc>
          <w:tcPr>
            <w:tcW w:type="dxa" w:w="1661"/>
          </w:tcPr>
          <w:p>
            <w:pPr>
              <w:pStyle w:val="null3"/>
            </w:pPr>
            <w:r>
              <w:rPr>
                <w:rFonts w:ascii="仿宋_GB2312" w:hAnsi="仿宋_GB2312" w:cs="仿宋_GB2312" w:eastAsia="仿宋_GB2312"/>
              </w:rPr>
              <w:t>响应文件封面 分项报价表 服务方案说明书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1、供应商按照采购文件要求上传响应文件；2、响应文件的签署、加盖印章是否有效；提供的各种证明文件、数据、资料是否有效。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分项报价表 服务方案说明书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1、供应商按照采购文件要求上传响应文件；2、报价是否超过采购预算；报价有效期是否符合采购文件要求；响应内容是否符合国家法律法规；第三章 采购项目技术、服务、商务及其他要求中标“★”的条款。</w:t>
            </w:r>
          </w:p>
        </w:tc>
        <w:tc>
          <w:tcPr>
            <w:tcW w:type="dxa" w:w="1661"/>
          </w:tcPr>
          <w:p>
            <w:pPr>
              <w:pStyle w:val="null3"/>
            </w:pPr>
            <w:r>
              <w:rPr>
                <w:rFonts w:ascii="仿宋_GB2312" w:hAnsi="仿宋_GB2312" w:cs="仿宋_GB2312" w:eastAsia="仿宋_GB2312"/>
              </w:rPr>
              <w:t>响应文件封面 服务方案说明书 分项报价表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报价明显低于采购预算，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报价合理性的，协商小组应当将其投标文件作为无效处理。</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详见附件：服务要求和商务要求响应表</w:t>
      </w:r>
    </w:p>
    <w:p>
      <w:pPr>
        <w:pStyle w:val="null3"/>
        <w:ind w:firstLine="960"/>
      </w:pPr>
      <w:r>
        <w:rPr>
          <w:rFonts w:ascii="仿宋_GB2312" w:hAnsi="仿宋_GB2312" w:cs="仿宋_GB2312" w:eastAsia="仿宋_GB2312"/>
        </w:rPr>
        <w:t>详见附件：服务方案说明书</w:t>
      </w:r>
    </w:p>
    <w:p>
      <w:pPr>
        <w:pStyle w:val="null3"/>
        <w:ind w:firstLine="960"/>
      </w:pPr>
      <w:r>
        <w:rPr>
          <w:rFonts w:ascii="仿宋_GB2312" w:hAnsi="仿宋_GB2312" w:cs="仿宋_GB2312" w:eastAsia="仿宋_GB2312"/>
        </w:rPr>
        <w:t>详见附件：同类项目业绩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