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2023/2024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6214BBDA">
      <w:pPr>
        <w:pStyle w:val="2"/>
        <w:rPr>
          <w:rFonts w:hint="default" w:eastAsia="宋体"/>
          <w:lang w:val="en-US" w:eastAsia="zh-CN"/>
        </w:rPr>
      </w:pPr>
      <w:r>
        <w:rPr>
          <w:rFonts w:hint="eastAsia" w:ascii="宋体" w:hAnsi="宋体" w:cs="宋体"/>
          <w:bCs/>
          <w:sz w:val="28"/>
          <w:szCs w:val="28"/>
          <w:lang w:val="en-US" w:eastAsia="zh-CN"/>
        </w:rPr>
        <w:t>2、特殊资格审查须提供：供应商须具备国家密码管理局颁发的“商用密码检测机构资质证书”。</w:t>
      </w:r>
      <w:bookmarkStart w:id="0" w:name="_GoBack"/>
      <w:bookmarkEnd w:id="0"/>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190C7912"/>
    <w:rsid w:val="36062A6B"/>
    <w:rsid w:val="5D8D779C"/>
    <w:rsid w:val="645D3AF2"/>
    <w:rsid w:val="6F9F683C"/>
    <w:rsid w:val="731B3894"/>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373</Characters>
  <Lines>0</Lines>
  <Paragraphs>0</Paragraphs>
  <TotalTime>2</TotalTime>
  <ScaleCrop>false</ScaleCrop>
  <LinksUpToDate>false</LinksUpToDate>
  <CharactersWithSpaces>377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2025-04-09T06:54:18Z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C13822402758411182678C6FCA461723_11</vt:lpwstr>
  </property>
  <property fmtid="{D5CDD505-2E9C-101B-9397-08002B2CF9AE}" pid="4" name="KSOTemplateDocerSaveRecord">
    <vt:lpwstr>eyJoZGlkIjoiNzE1ZDNkZmQ0M2RmNjU4OTRhZmUxYzIzNWY5YWJkZTkiLCJ1c2VySWQiOiI2ODYzMDg4MjQifQ==</vt:lpwstr>
  </property>
</Properties>
</file>