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E8DB4">
      <w:pPr>
        <w:keepNext/>
        <w:keepLines/>
        <w:spacing w:line="240" w:lineRule="auto"/>
        <w:ind w:firstLine="640" w:firstLineChars="200"/>
        <w:jc w:val="center"/>
        <w:outlineLvl w:val="0"/>
        <w:rPr>
          <w:rFonts w:ascii="仿宋" w:hAnsi="仿宋" w:eastAsia="仿宋" w:cs="仿宋"/>
          <w:b/>
          <w:bCs/>
          <w:kern w:val="44"/>
          <w:sz w:val="36"/>
          <w:szCs w:val="44"/>
          <w:highlight w:val="none"/>
          <w:lang w:val="en-US" w:eastAsia="zh-CN" w:bidi="ar-SA"/>
        </w:rPr>
      </w:pPr>
      <w:bookmarkStart w:id="115" w:name="_GoBack"/>
      <w:bookmarkStart w:id="0" w:name="_Toc32538"/>
      <w:bookmarkStart w:id="1" w:name="_Toc12383"/>
      <w:bookmarkStart w:id="2" w:name="_Toc21221"/>
      <w:bookmarkStart w:id="3" w:name="_Toc23956"/>
      <w:bookmarkStart w:id="4" w:name="_Toc8940"/>
      <w:bookmarkStart w:id="5" w:name="_Toc31044"/>
      <w:bookmarkStart w:id="6" w:name="_Toc22040"/>
      <w:bookmarkStart w:id="7" w:name="_Toc12675"/>
      <w:bookmarkStart w:id="8" w:name="_Toc13492"/>
      <w:r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highlight w:val="none"/>
          <w:lang w:val="en-US" w:eastAsia="zh-CN" w:bidi="ar-SA"/>
        </w:rPr>
        <w:t>合同基本条款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7BC040A">
      <w:pPr>
        <w:keepNext/>
        <w:keepLines/>
        <w:spacing w:line="500" w:lineRule="exact"/>
        <w:ind w:firstLine="562" w:firstLineChars="200"/>
        <w:contextualSpacing/>
        <w:jc w:val="both"/>
        <w:outlineLvl w:val="1"/>
        <w:rPr>
          <w:rFonts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bookmarkStart w:id="9" w:name="_Toc27676"/>
      <w:bookmarkStart w:id="10" w:name="_Toc24790"/>
      <w:bookmarkStart w:id="11" w:name="_Toc23723"/>
      <w:bookmarkStart w:id="12" w:name="_Toc27907"/>
      <w:bookmarkStart w:id="13" w:name="_Toc31248"/>
      <w:bookmarkStart w:id="14" w:name="_Toc17776"/>
      <w:bookmarkStart w:id="15" w:name="_Toc11440"/>
      <w:bookmarkStart w:id="16" w:name="_Toc16792"/>
      <w:bookmarkStart w:id="17" w:name="_Toc14110"/>
      <w:bookmarkStart w:id="18" w:name="_Toc17681"/>
      <w:bookmarkStart w:id="19" w:name="_Toc8683"/>
      <w:bookmarkStart w:id="20" w:name="_Toc31093"/>
      <w:bookmarkStart w:id="21" w:name="_Toc4766"/>
      <w:r>
        <w:rPr>
          <w:rFonts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一、</w:t>
      </w:r>
      <w:r>
        <w:rPr>
          <w:rFonts w:hint="eastAsia"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交货</w:t>
      </w:r>
      <w:r>
        <w:rPr>
          <w:rFonts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条件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5545BCDE">
      <w:pPr>
        <w:spacing w:line="500" w:lineRule="exact"/>
        <w:ind w:firstLine="560" w:firstLineChars="200"/>
        <w:jc w:val="both"/>
        <w:rPr>
          <w:rFonts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（一）服务地点：采购人指定地点交货。</w:t>
      </w:r>
    </w:p>
    <w:p w14:paraId="18E79770">
      <w:pPr>
        <w:spacing w:after="0" w:line="560" w:lineRule="exact"/>
        <w:ind w:firstLine="560" w:firstLineChars="200"/>
        <w:jc w:val="both"/>
        <w:rPr>
          <w:rFonts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（二）服务期：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两年（合同一年一签，甲方与服务方按年度金额续签合同）。</w:t>
      </w:r>
    </w:p>
    <w:p w14:paraId="4DE43F8E">
      <w:pPr>
        <w:spacing w:line="500" w:lineRule="exact"/>
        <w:ind w:firstLine="560" w:firstLineChars="200"/>
        <w:jc w:val="both"/>
        <w:rPr>
          <w:rFonts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（三）服务内容及服务人员（后附名单）</w:t>
      </w:r>
    </w:p>
    <w:p w14:paraId="17900FE0">
      <w:pPr>
        <w:keepNext/>
        <w:keepLines/>
        <w:spacing w:line="500" w:lineRule="exact"/>
        <w:ind w:firstLine="562" w:firstLineChars="200"/>
        <w:contextualSpacing/>
        <w:jc w:val="both"/>
        <w:outlineLvl w:val="1"/>
        <w:rPr>
          <w:rFonts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bookmarkStart w:id="22" w:name="_Toc10364"/>
      <w:bookmarkStart w:id="23" w:name="_Toc3604"/>
      <w:bookmarkStart w:id="24" w:name="_Toc4020"/>
      <w:bookmarkStart w:id="25" w:name="_Toc13885"/>
      <w:bookmarkStart w:id="26" w:name="_Toc3683"/>
      <w:bookmarkStart w:id="27" w:name="_Toc6215"/>
      <w:bookmarkStart w:id="28" w:name="_Toc13797"/>
      <w:bookmarkStart w:id="29" w:name="_Toc29861"/>
      <w:bookmarkStart w:id="30" w:name="_Toc10368"/>
      <w:bookmarkStart w:id="31" w:name="_Toc27553"/>
      <w:bookmarkStart w:id="32" w:name="_Toc19226"/>
      <w:bookmarkStart w:id="33" w:name="_Toc22772"/>
      <w:bookmarkStart w:id="34" w:name="_Toc23348"/>
      <w:r>
        <w:rPr>
          <w:rFonts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二、合同价款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3290F565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合同总价一次性包死，不受市场价格变化因素的影响。</w:t>
      </w:r>
    </w:p>
    <w:p w14:paraId="5497C325">
      <w:pPr>
        <w:keepNext/>
        <w:keepLines/>
        <w:spacing w:line="500" w:lineRule="exact"/>
        <w:ind w:firstLine="562" w:firstLineChars="200"/>
        <w:contextualSpacing/>
        <w:jc w:val="both"/>
        <w:outlineLvl w:val="1"/>
        <w:rPr>
          <w:rFonts w:ascii="仿宋" w:hAnsi="仿宋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bookmarkStart w:id="35" w:name="_Toc2370"/>
      <w:bookmarkStart w:id="36" w:name="_Toc185"/>
      <w:bookmarkStart w:id="37" w:name="_Toc28510"/>
      <w:bookmarkStart w:id="38" w:name="_Toc9704"/>
      <w:bookmarkStart w:id="39" w:name="_Toc29282"/>
      <w:bookmarkStart w:id="40" w:name="_Toc20919"/>
      <w:bookmarkStart w:id="41" w:name="_Toc28383"/>
      <w:bookmarkStart w:id="42" w:name="_Toc7528"/>
      <w:bookmarkStart w:id="43" w:name="_Toc20587"/>
      <w:bookmarkStart w:id="44" w:name="_Toc6150"/>
      <w:bookmarkStart w:id="45" w:name="_Toc9356"/>
      <w:bookmarkStart w:id="46" w:name="_Toc31033"/>
      <w:bookmarkStart w:id="47" w:name="_Toc9401"/>
      <w:r>
        <w:rPr>
          <w:rFonts w:hint="eastAsia"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三、</w:t>
      </w:r>
      <w:r>
        <w:rPr>
          <w:rFonts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款项结算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5F9DC04E">
      <w:pPr>
        <w:spacing w:line="500" w:lineRule="exact"/>
        <w:ind w:firstLine="560" w:firstLineChars="200"/>
        <w:jc w:val="both"/>
        <w:rPr>
          <w:rFonts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（一）支付方式：银行转账</w:t>
      </w:r>
    </w:p>
    <w:p w14:paraId="742DFDF1">
      <w:pPr>
        <w:spacing w:line="500" w:lineRule="exact"/>
        <w:ind w:firstLine="560" w:firstLineChars="200"/>
        <w:jc w:val="both"/>
        <w:rPr>
          <w:rFonts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（二）货币单位：人民币</w:t>
      </w:r>
    </w:p>
    <w:p w14:paraId="65CB1A35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（三）结算方式：</w:t>
      </w:r>
      <w:bookmarkStart w:id="48" w:name="_Toc17983_WPSOffice_Level2"/>
      <w:bookmarkStart w:id="49" w:name="_Toc19805"/>
      <w:bookmarkStart w:id="50" w:name="_Toc27759"/>
    </w:p>
    <w:p w14:paraId="15009B60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1、合同款甲方以人民币结算。在付款时，乙方须出具付款申请并开具付款金额等额发票给甲方。</w:t>
      </w:r>
    </w:p>
    <w:p w14:paraId="7F0EC449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2、付款方式：</w:t>
      </w:r>
    </w:p>
    <w:p w14:paraId="5534FD1F">
      <w:pPr>
        <w:widowControl/>
        <w:spacing w:line="500" w:lineRule="exact"/>
        <w:ind w:firstLine="560" w:firstLineChars="200"/>
        <w:rPr>
          <w:rFonts w:ascii="Calibri Light" w:hAnsi="Calibri Light" w:eastAsia="仿宋" w:cs="仿宋"/>
          <w:sz w:val="28"/>
          <w:szCs w:val="28"/>
          <w:highlight w:val="none"/>
          <w:lang w:bidi="ar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付款：签定合同后，10个工作日一次付清。</w:t>
      </w:r>
    </w:p>
    <w:bookmarkEnd w:id="48"/>
    <w:bookmarkEnd w:id="49"/>
    <w:bookmarkEnd w:id="50"/>
    <w:p w14:paraId="4B11EDB0">
      <w:pPr>
        <w:keepNext/>
        <w:keepLines/>
        <w:spacing w:line="500" w:lineRule="exact"/>
        <w:ind w:firstLine="562" w:firstLineChars="200"/>
        <w:contextualSpacing/>
        <w:jc w:val="both"/>
        <w:outlineLvl w:val="1"/>
        <w:rPr>
          <w:rFonts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bookmarkStart w:id="51" w:name="_Toc21536"/>
      <w:bookmarkStart w:id="52" w:name="_Toc8229"/>
      <w:bookmarkStart w:id="53" w:name="_Toc4874"/>
      <w:bookmarkStart w:id="54" w:name="_Toc24110"/>
      <w:bookmarkStart w:id="55" w:name="_Toc4595"/>
      <w:bookmarkStart w:id="56" w:name="_Toc29238"/>
      <w:bookmarkStart w:id="57" w:name="_Toc32122"/>
      <w:bookmarkStart w:id="58" w:name="_Toc5232"/>
      <w:bookmarkStart w:id="59" w:name="_Toc9670"/>
      <w:bookmarkStart w:id="60" w:name="_Toc1013"/>
      <w:bookmarkStart w:id="61" w:name="_Toc9859"/>
      <w:bookmarkStart w:id="62" w:name="_Toc8604"/>
      <w:bookmarkStart w:id="63" w:name="_Toc1928"/>
      <w:bookmarkStart w:id="64" w:name="_Toc18479"/>
      <w:bookmarkStart w:id="65" w:name="_Toc31253"/>
      <w:bookmarkStart w:id="66" w:name="_Toc745"/>
      <w:r>
        <w:rPr>
          <w:rFonts w:hint="eastAsia"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四、双方权利及义务：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434A60B3">
      <w:pPr>
        <w:spacing w:line="400" w:lineRule="exact"/>
        <w:ind w:firstLine="560" w:firstLineChars="200"/>
        <w:jc w:val="both"/>
        <w:rPr>
          <w:rFonts w:ascii="Calibri Light" w:hAnsi="Calibri Light" w:eastAsia="华文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Calibri Light" w:hAnsi="Calibri Light" w:eastAsia="华文仿宋" w:cs="Times New Roman"/>
          <w:kern w:val="2"/>
          <w:sz w:val="28"/>
          <w:szCs w:val="28"/>
          <w:highlight w:val="none"/>
          <w:lang w:val="en-US" w:eastAsia="zh-CN" w:bidi="ar-SA"/>
        </w:rPr>
        <w:t>1、甲方权利及义务：</w:t>
      </w:r>
    </w:p>
    <w:p w14:paraId="6B2FBA30">
      <w:pPr>
        <w:spacing w:line="400" w:lineRule="exact"/>
        <w:ind w:firstLine="560" w:firstLineChars="200"/>
        <w:jc w:val="both"/>
        <w:rPr>
          <w:rFonts w:ascii="Calibri Light" w:hAnsi="Calibri Light" w:eastAsia="华文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Calibri Light" w:hAnsi="Calibri Light" w:eastAsia="华文仿宋" w:cs="Times New Roman"/>
          <w:kern w:val="2"/>
          <w:sz w:val="28"/>
          <w:szCs w:val="28"/>
          <w:highlight w:val="none"/>
          <w:lang w:val="en-US" w:eastAsia="zh-CN" w:bidi="ar-SA"/>
        </w:rPr>
        <w:t>（1）</w:t>
      </w:r>
      <w:r>
        <w:rPr>
          <w:rFonts w:ascii="Calibri Light" w:hAnsi="Calibri Light" w:eastAsia="华文仿宋" w:cs="Times New Roman"/>
          <w:kern w:val="2"/>
          <w:sz w:val="28"/>
          <w:szCs w:val="28"/>
          <w:highlight w:val="none"/>
          <w:lang w:val="en-US" w:eastAsia="zh-CN" w:bidi="ar-SA"/>
        </w:rPr>
        <w:t>有权监督乙方的工作进度和工作质量，由项目代表对乙方按照合同约定所完成的工作内容予以阶段确认。</w:t>
      </w:r>
    </w:p>
    <w:p w14:paraId="0A983133">
      <w:pPr>
        <w:spacing w:line="400" w:lineRule="exact"/>
        <w:ind w:firstLine="560" w:firstLineChars="200"/>
        <w:jc w:val="both"/>
        <w:rPr>
          <w:rFonts w:ascii="Calibri Light" w:hAnsi="Calibri Light" w:eastAsia="华文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Calibri Light" w:hAnsi="Calibri Light" w:eastAsia="华文仿宋" w:cs="Times New Roman"/>
          <w:kern w:val="2"/>
          <w:sz w:val="28"/>
          <w:szCs w:val="28"/>
          <w:highlight w:val="none"/>
          <w:lang w:val="en-US" w:eastAsia="zh-CN" w:bidi="ar-SA"/>
        </w:rPr>
        <w:t>（2）</w:t>
      </w:r>
      <w:r>
        <w:rPr>
          <w:rFonts w:ascii="Calibri Light" w:hAnsi="Calibri Light" w:eastAsia="华文仿宋" w:cs="Times New Roman"/>
          <w:kern w:val="2"/>
          <w:sz w:val="28"/>
          <w:szCs w:val="28"/>
          <w:highlight w:val="none"/>
          <w:lang w:val="en-US" w:eastAsia="zh-CN" w:bidi="ar-SA"/>
        </w:rPr>
        <w:t>有权在技术服务过程中，提出修改意见。</w:t>
      </w:r>
    </w:p>
    <w:p w14:paraId="1D0E9B74">
      <w:pPr>
        <w:spacing w:line="400" w:lineRule="exact"/>
        <w:ind w:firstLine="560" w:firstLineChars="200"/>
        <w:jc w:val="both"/>
        <w:rPr>
          <w:rFonts w:ascii="Calibri Light" w:hAnsi="Calibri Light" w:eastAsia="华文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Calibri Light" w:hAnsi="Calibri Light" w:eastAsia="华文仿宋" w:cs="Times New Roman"/>
          <w:kern w:val="2"/>
          <w:sz w:val="28"/>
          <w:szCs w:val="28"/>
          <w:highlight w:val="none"/>
          <w:lang w:val="en-US" w:eastAsia="zh-CN" w:bidi="ar-SA"/>
        </w:rPr>
        <w:t>（3）应向乙方提供并允许乙方为完成本项目使用双方商议确认的信息、数据、资料；协助乙方解决项目实施中需由甲方协助解决的问题。</w:t>
      </w:r>
    </w:p>
    <w:p w14:paraId="24A37BC5">
      <w:pPr>
        <w:spacing w:line="400" w:lineRule="exact"/>
        <w:ind w:firstLine="560" w:firstLineChars="200"/>
        <w:jc w:val="both"/>
        <w:rPr>
          <w:rFonts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Calibri Light" w:hAnsi="Calibri Light" w:eastAsia="华文仿宋" w:cs="Times New Roman"/>
          <w:kern w:val="2"/>
          <w:sz w:val="28"/>
          <w:szCs w:val="28"/>
          <w:highlight w:val="none"/>
          <w:lang w:val="en-US" w:eastAsia="zh-CN" w:bidi="ar-SA"/>
        </w:rPr>
        <w:t>（4）</w:t>
      </w: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应按本合同的约定向乙方支付合同款和组织项目验收。</w:t>
      </w:r>
    </w:p>
    <w:p w14:paraId="1AB38102">
      <w:pPr>
        <w:spacing w:line="400" w:lineRule="exact"/>
        <w:ind w:firstLine="560" w:firstLineChars="200"/>
        <w:jc w:val="both"/>
        <w:rPr>
          <w:rFonts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（5）遵守本合同约定的知识产权，履行保密义务</w:t>
      </w:r>
    </w:p>
    <w:p w14:paraId="4FA81C43">
      <w:pPr>
        <w:spacing w:line="400" w:lineRule="exact"/>
        <w:ind w:firstLine="560" w:firstLineChars="200"/>
        <w:jc w:val="both"/>
        <w:rPr>
          <w:rFonts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2、乙方的权利及义务：</w:t>
      </w:r>
    </w:p>
    <w:p w14:paraId="104CF5E7">
      <w:pPr>
        <w:spacing w:line="400" w:lineRule="exact"/>
        <w:ind w:firstLine="560" w:firstLineChars="200"/>
        <w:jc w:val="both"/>
        <w:rPr>
          <w:rFonts w:ascii="Calibri Light" w:hAnsi="Calibri Light" w:eastAsia="华文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Calibri Light" w:hAnsi="Calibri Light" w:eastAsia="华文仿宋" w:cs="Times New Roman"/>
          <w:kern w:val="2"/>
          <w:sz w:val="28"/>
          <w:szCs w:val="28"/>
          <w:highlight w:val="none"/>
          <w:lang w:val="en-US" w:eastAsia="zh-CN" w:bidi="ar-SA"/>
        </w:rPr>
        <w:t>（1）指定专人负责本项目的实施，乙方应在合同约定的时间内，向甲方提交书面的项目工作方案相关规定制定的货物，服务人员名单及职责分工。</w:t>
      </w:r>
    </w:p>
    <w:p w14:paraId="1E1156F9">
      <w:pPr>
        <w:spacing w:line="560" w:lineRule="exact"/>
        <w:ind w:firstLine="560" w:firstLineChars="200"/>
        <w:jc w:val="both"/>
        <w:rPr>
          <w:rFonts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（2）应按照工作方案，向甲方交付合格的产品和技术资料。保证服务内容与本合同约定的质量要求和数量一致。</w:t>
      </w:r>
    </w:p>
    <w:p w14:paraId="6BB3B857">
      <w:pPr>
        <w:spacing w:line="560" w:lineRule="exact"/>
        <w:ind w:firstLine="560" w:firstLineChars="200"/>
        <w:jc w:val="both"/>
        <w:rPr>
          <w:rFonts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（3）保证在合同履行期间，拥有采购人要求的资质和开发能力，并保证不会侵犯任何第三方知识产权。</w:t>
      </w:r>
    </w:p>
    <w:p w14:paraId="2FAF3BF4">
      <w:pPr>
        <w:widowControl/>
        <w:tabs>
          <w:tab w:val="left" w:pos="840"/>
        </w:tabs>
        <w:spacing w:line="56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（4）按照本合同约定为采购人提供符合要求的场地及人员。人员为乙方聘用员工且符合甲方要求的相应技术，乙方与服务人员按照《劳动法》相关条款规定为其缴纳社会保险。</w:t>
      </w:r>
    </w:p>
    <w:p w14:paraId="1297FB9D">
      <w:pPr>
        <w:widowControl/>
        <w:spacing w:line="56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⑸遵守本合同约定的知识产权，履行保密义务。</w:t>
      </w:r>
    </w:p>
    <w:p w14:paraId="02ED2CF1">
      <w:pPr>
        <w:widowControl/>
        <w:spacing w:line="560" w:lineRule="exact"/>
        <w:ind w:firstLine="561" w:firstLineChars="200"/>
        <w:outlineLvl w:val="1"/>
        <w:rPr>
          <w:rFonts w:ascii="华文仿宋" w:hAnsi="华文仿宋" w:eastAsia="华文仿宋" w:cs="华文仿宋"/>
          <w:b/>
          <w:sz w:val="28"/>
          <w:szCs w:val="28"/>
          <w:highlight w:val="none"/>
        </w:rPr>
      </w:pPr>
      <w:bookmarkStart w:id="67" w:name="_Toc6759"/>
      <w:bookmarkStart w:id="68" w:name="_Toc27743"/>
      <w:bookmarkStart w:id="69" w:name="_Toc24678"/>
      <w:bookmarkStart w:id="70" w:name="_Toc9223"/>
      <w:bookmarkStart w:id="71" w:name="_Toc15726"/>
      <w:bookmarkStart w:id="72" w:name="_Toc28731"/>
      <w:bookmarkStart w:id="73" w:name="_Toc530"/>
      <w:bookmarkStart w:id="74" w:name="_Toc29580"/>
      <w:bookmarkStart w:id="75" w:name="_Toc21929"/>
      <w:bookmarkStart w:id="76" w:name="_Toc32313"/>
      <w:r>
        <w:rPr>
          <w:rFonts w:hint="eastAsia" w:ascii="华文仿宋" w:hAnsi="华文仿宋" w:eastAsia="华文仿宋" w:cs="华文仿宋"/>
          <w:b/>
          <w:sz w:val="28"/>
          <w:szCs w:val="28"/>
          <w:highlight w:val="none"/>
        </w:rPr>
        <w:t>五、服务保证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4DAFCD0B">
      <w:pPr>
        <w:widowControl/>
        <w:tabs>
          <w:tab w:val="left" w:pos="840"/>
        </w:tabs>
        <w:spacing w:line="56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1、人员雇佣及工资标准</w:t>
      </w:r>
    </w:p>
    <w:p w14:paraId="3D011970">
      <w:pPr>
        <w:widowControl/>
        <w:tabs>
          <w:tab w:val="left" w:pos="840"/>
        </w:tabs>
        <w:spacing w:line="56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（1）成交供应商须保障所有人员待遇不得低于西安市最低工资标准。</w:t>
      </w:r>
    </w:p>
    <w:p w14:paraId="3AE3A446">
      <w:pPr>
        <w:widowControl/>
        <w:tabs>
          <w:tab w:val="left" w:pos="840"/>
        </w:tabs>
        <w:spacing w:line="56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（2）成交供应商须与员工签订劳动合同，引起劳动关系问题由成交供应商负责。</w:t>
      </w:r>
    </w:p>
    <w:p w14:paraId="13B16D73">
      <w:pPr>
        <w:widowControl/>
        <w:tabs>
          <w:tab w:val="left" w:pos="840"/>
        </w:tabs>
        <w:spacing w:line="56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2、未经采购人书面许可，成交供应商不得从事与本项目合同约定以外的任何经营性活动，不得引进任何单位和个人从事经营性活动，不得出租、出借、出让采购人任何资产，成交供应商有义务爱护采购人管辖范围内的各种设施设备，不得阻碍经采购人批准的服务项目和活动的实施，否则视为违约。</w:t>
      </w:r>
    </w:p>
    <w:p w14:paraId="2B00ABAC">
      <w:pPr>
        <w:widowControl/>
        <w:spacing w:line="560" w:lineRule="exact"/>
        <w:ind w:firstLine="561" w:firstLineChars="200"/>
        <w:outlineLvl w:val="1"/>
        <w:rPr>
          <w:rFonts w:ascii="华文仿宋" w:hAnsi="华文仿宋" w:eastAsia="华文仿宋" w:cs="华文仿宋"/>
          <w:b/>
          <w:sz w:val="28"/>
          <w:szCs w:val="28"/>
          <w:highlight w:val="none"/>
        </w:rPr>
      </w:pPr>
      <w:bookmarkStart w:id="77" w:name="_Toc1451"/>
      <w:bookmarkStart w:id="78" w:name="_Toc1967"/>
      <w:bookmarkStart w:id="79" w:name="_Toc32099"/>
      <w:bookmarkStart w:id="80" w:name="_Toc29742"/>
      <w:bookmarkStart w:id="81" w:name="_Toc8879"/>
      <w:bookmarkStart w:id="82" w:name="_Toc14919"/>
      <w:bookmarkStart w:id="83" w:name="_Toc16200"/>
      <w:bookmarkStart w:id="84" w:name="_Toc30440"/>
      <w:bookmarkStart w:id="85" w:name="_Toc754"/>
      <w:r>
        <w:rPr>
          <w:rFonts w:hint="eastAsia" w:ascii="华文仿宋" w:hAnsi="华文仿宋" w:eastAsia="华文仿宋" w:cs="华文仿宋"/>
          <w:b/>
          <w:sz w:val="28"/>
          <w:szCs w:val="28"/>
          <w:highlight w:val="none"/>
        </w:rPr>
        <w:t>六、</w:t>
      </w:r>
      <w:bookmarkEnd w:id="77"/>
      <w:bookmarkEnd w:id="78"/>
      <w:bookmarkEnd w:id="79"/>
      <w:r>
        <w:rPr>
          <w:rFonts w:hint="eastAsia" w:ascii="华文仿宋" w:hAnsi="华文仿宋" w:eastAsia="华文仿宋" w:cs="华文仿宋"/>
          <w:b/>
          <w:sz w:val="28"/>
          <w:szCs w:val="28"/>
          <w:highlight w:val="none"/>
        </w:rPr>
        <w:t>服务要求</w:t>
      </w:r>
      <w:bookmarkEnd w:id="80"/>
      <w:bookmarkEnd w:id="81"/>
      <w:bookmarkEnd w:id="82"/>
      <w:bookmarkEnd w:id="83"/>
      <w:bookmarkEnd w:id="84"/>
      <w:bookmarkEnd w:id="85"/>
    </w:p>
    <w:p w14:paraId="5DDC01CD">
      <w:pPr>
        <w:widowControl/>
        <w:tabs>
          <w:tab w:val="left" w:pos="840"/>
        </w:tabs>
        <w:spacing w:line="56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highlight w:val="none"/>
        </w:rPr>
      </w:pPr>
      <w:bookmarkStart w:id="86" w:name="_Toc3312"/>
      <w:bookmarkStart w:id="87" w:name="_Toc7612"/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以响应文件、澄清表（函）、合同和随服务的相关文件为准。</w:t>
      </w:r>
    </w:p>
    <w:p w14:paraId="4DADFE72">
      <w:pPr>
        <w:keepNext/>
        <w:keepLines/>
        <w:spacing w:line="560" w:lineRule="exact"/>
        <w:ind w:firstLine="562" w:firstLineChars="200"/>
        <w:contextualSpacing/>
        <w:jc w:val="both"/>
        <w:outlineLvl w:val="1"/>
        <w:rPr>
          <w:rFonts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bookmarkStart w:id="88" w:name="_Toc24101"/>
      <w:bookmarkStart w:id="89" w:name="_Toc19424"/>
      <w:bookmarkStart w:id="90" w:name="_Toc24147"/>
      <w:bookmarkStart w:id="91" w:name="_Toc3618"/>
      <w:bookmarkStart w:id="92" w:name="_Toc22758"/>
      <w:bookmarkStart w:id="93" w:name="_Toc902"/>
      <w:r>
        <w:rPr>
          <w:rFonts w:hint="eastAsia"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七、</w:t>
      </w:r>
      <w:r>
        <w:rPr>
          <w:rFonts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违约责任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14:paraId="2BFDEA32">
      <w:pPr>
        <w:widowControl/>
        <w:spacing w:line="56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（一）按《合同法》中的相关条款执行。</w:t>
      </w:r>
    </w:p>
    <w:p w14:paraId="1438F1F3">
      <w:pPr>
        <w:widowControl/>
        <w:spacing w:line="560" w:lineRule="exact"/>
        <w:ind w:firstLine="560" w:firstLineChars="200"/>
        <w:rPr>
          <w:rFonts w:ascii="Calibri Light" w:hAnsi="Calibri Light" w:eastAsia="华文仿宋" w:cs="Times New Roman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（二）未按合同要求提供服务、货物或服务、货物质量不能满足合同要求，采购人有权依据《合同法》有关条款及合同约定终止合同，并要求供应商承担违约责任。</w:t>
      </w:r>
    </w:p>
    <w:p w14:paraId="1CE0A856">
      <w:pPr>
        <w:keepNext/>
        <w:keepLines/>
        <w:spacing w:line="560" w:lineRule="exact"/>
        <w:ind w:firstLine="562" w:firstLineChars="200"/>
        <w:contextualSpacing/>
        <w:jc w:val="both"/>
        <w:outlineLvl w:val="1"/>
        <w:rPr>
          <w:rFonts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bookmarkStart w:id="94" w:name="_Toc1540"/>
      <w:bookmarkStart w:id="95" w:name="_Toc20616"/>
      <w:bookmarkStart w:id="96" w:name="_Toc32665"/>
      <w:bookmarkStart w:id="97" w:name="_Toc16304"/>
      <w:bookmarkStart w:id="98" w:name="_Toc11294"/>
      <w:bookmarkStart w:id="99" w:name="_Toc30027"/>
      <w:bookmarkStart w:id="100" w:name="_Toc24399"/>
      <w:bookmarkStart w:id="101" w:name="_Toc27319"/>
      <w:bookmarkStart w:id="102" w:name="_Toc12807"/>
      <w:bookmarkStart w:id="103" w:name="_Toc11377"/>
      <w:bookmarkStart w:id="104" w:name="_Toc27290"/>
      <w:bookmarkStart w:id="105" w:name="_Toc5968"/>
      <w:bookmarkStart w:id="106" w:name="_Toc22632"/>
      <w:bookmarkStart w:id="107" w:name="_Toc29095"/>
      <w:bookmarkStart w:id="108" w:name="_Toc29554"/>
      <w:bookmarkStart w:id="109" w:name="_Toc16421"/>
      <w:r>
        <w:rPr>
          <w:rFonts w:hint="eastAsia"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八、争议解决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14:paraId="60DEC96E">
      <w:pPr>
        <w:widowControl/>
        <w:spacing w:line="56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highlight w:val="none"/>
        </w:rPr>
      </w:pPr>
      <w:bookmarkStart w:id="110" w:name="_Toc28579"/>
      <w:bookmarkStart w:id="111" w:name="_Toc15050"/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执行本合同中产生纠纷，由采购人与成交供应商双方协商解决；协商不成，向有管辖权的人民法院提起诉讼。</w:t>
      </w:r>
      <w:bookmarkEnd w:id="110"/>
      <w:bookmarkEnd w:id="111"/>
    </w:p>
    <w:p w14:paraId="683EE333">
      <w:pPr>
        <w:keepNext/>
        <w:keepLines/>
        <w:spacing w:line="560" w:lineRule="exact"/>
        <w:ind w:firstLine="562" w:firstLineChars="200"/>
        <w:contextualSpacing/>
        <w:jc w:val="both"/>
        <w:outlineLvl w:val="1"/>
        <w:rPr>
          <w:rFonts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bookmarkStart w:id="112" w:name="_Toc28357"/>
      <w:bookmarkStart w:id="113" w:name="_Toc20120"/>
      <w:bookmarkStart w:id="114" w:name="_Toc5329"/>
      <w:r>
        <w:rPr>
          <w:rFonts w:hint="eastAsia"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九</w:t>
      </w:r>
      <w:r>
        <w:rPr>
          <w:rFonts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、</w:t>
      </w:r>
      <w:r>
        <w:rPr>
          <w:rFonts w:hint="eastAsia" w:ascii="Calibri Light" w:hAnsi="Calibri Light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合同生效及其他</w:t>
      </w:r>
      <w:bookmarkEnd w:id="112"/>
      <w:bookmarkEnd w:id="113"/>
      <w:bookmarkEnd w:id="114"/>
    </w:p>
    <w:p w14:paraId="6150AE0F">
      <w:pPr>
        <w:widowControl/>
        <w:spacing w:line="56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（一）本合同自签订之日起生效。 </w:t>
      </w:r>
    </w:p>
    <w:p w14:paraId="55BBE8B6">
      <w:pPr>
        <w:widowControl/>
        <w:spacing w:line="56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（二）合同一式柒份，采购人贰份，成交供应商、陕西中发项目管理发展有限公司各执壹份；政府采购监管机构备案壹份，成交供应商办理结算贰份。</w:t>
      </w:r>
    </w:p>
    <w:p w14:paraId="6973B067">
      <w:pPr>
        <w:widowControl/>
        <w:spacing w:line="56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（三）未尽事宜由双方在签订合同时具体明确。</w:t>
      </w:r>
    </w:p>
    <w:p w14:paraId="0A0F7E12">
      <w:pPr>
        <w:spacing w:line="560" w:lineRule="exact"/>
        <w:ind w:firstLine="560" w:firstLineChars="200"/>
        <w:jc w:val="both"/>
        <w:rPr>
          <w:rFonts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（四）本合同仅供参考具体合同以采购人和中标单位签订的为准。</w:t>
      </w:r>
    </w:p>
    <w:p w14:paraId="371059DF">
      <w:pPr>
        <w:widowControl/>
        <w:spacing w:line="560" w:lineRule="exact"/>
        <w:ind w:firstLine="561" w:firstLineChars="200"/>
        <w:rPr>
          <w:rFonts w:ascii="华文仿宋" w:hAnsi="华文仿宋" w:eastAsia="华文仿宋" w:cs="华文仿宋"/>
          <w:b/>
          <w:sz w:val="28"/>
          <w:szCs w:val="28"/>
          <w:highlight w:val="none"/>
        </w:rPr>
      </w:pPr>
    </w:p>
    <w:p w14:paraId="71F39BE5">
      <w:pPr>
        <w:rPr>
          <w:highlight w:val="none"/>
        </w:rPr>
      </w:pPr>
    </w:p>
    <w:bookmarkEnd w:id="115"/>
    <w:sectPr>
      <w:pgSz w:w="11905" w:h="16838"/>
      <w:pgMar w:top="1440" w:right="1276" w:bottom="1440" w:left="1276" w:header="850" w:footer="992" w:gutter="0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85A52"/>
    <w:rsid w:val="21532B4B"/>
    <w:rsid w:val="7558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2025-05-13T08:49:00Z</dcterms:created>
  <dc:creator>La_Vicky_程</dc:creator>
  <cp:lastModifiedBy>La_Vicky_程</cp:lastModifiedBy>
  <dcterms:modified xsi:type="dcterms:W3CDTF">2025-05-13T08:49:24Z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DD00BA9171814CA790824774023F1081_11</vt:lpwstr>
  </property>
  <property fmtid="{D5CDD505-2E9C-101B-9397-08002B2CF9AE}" pid="4" name="KSOTemplateDocerSaveRecord">
    <vt:lpwstr>eyJoZGlkIjoiMjAyMGJhYWE2N2UwNzFkNDE5NmQ2NTkyNWQ4MmU4ZTEiLCJ1c2VySWQiOiIzMTYzMjYzIn0=</vt:lpwstr>
  </property>
</Properties>
</file>