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版本号：KY2025-3-02120250512001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核心数据库软件大版本升级及系统调优项目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KY2025-3-021</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核心数据库软件大版本升级及系统调优项目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KY2025-3-021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核心数据库软件大版本升级及系统调优项目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核心数据库软件大版本升级及系统调优项目，简要技术要求、用途：详见磋商文件。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8、法定代表人授权书：法定代表人授权书及被授权人身份证复印件。（法定代表人直接磋商只须提交其身份证明书）。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陕西省未央区凤城十一路东段陕西省高速公路收费中心208号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银行账号：86113010750181501004260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及发改办价格[2003]857号文件的规定标准下浮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联系人：谢婷婷、王琦、戈迪</w:t>
      </w:r>
    </w:p>
    <w:p>
      <w:pPr>
        <w:pStyle w:val="null3"/>
      </w:pPr>
      <w:r>
        <w:rPr>
          <w:rFonts w:ascii="仿宋_GB2312" w:hAnsi="仿宋_GB2312" w:cs="仿宋_GB2312" w:eastAsia="仿宋_GB2312"/>
        </w:rPr>
        <w:t>联系电话：029-81206622/81206633-832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核心数据库软件大版本升级及系统调优项目，简要技术要求、用途：详见磋商文件。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核心数据库软件大版本升级及系统调优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标的名称：核心数据库软件大版本升级及系统调优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项目概况：</w:t>
            </w:r>
          </w:p>
          <w:p>
            <w:pPr>
              <w:pStyle w:val="null3"/>
            </w:pPr>
            <w:r>
              <w:rPr>
                <w:rFonts w:ascii="仿宋_GB2312" w:hAnsi="仿宋_GB2312" w:cs="仿宋_GB2312" w:eastAsia="仿宋_GB2312"/>
                <w:sz w:val="21"/>
              </w:rPr>
              <w:t>自取消高速公路省界收费站后，高速公路实现“一张网运行、一体化服务”，数据量增长迅速。我省高速公路核心数据库一体机系统数据总量已达上百TB，承载了联网收费系统主系统及全部子系统。所有设备自上线以来均处于7*24小时全时段运行，部分设备已上线超过7年。作为典型的高压力关键业务系统，随着业务需求的快速变化及数据的海量增加，数据库系统的性能已严重不足。一是现行数据库软件为多年前发布的较低版本，无法进行安全补丁更新，存在高危安全风险，严重影响核心数据库安全运行。二是数据库系统读写性能对于数据库系统运行中的等待事件时间影响非常高，系统已处于临界点，性能严重不足。该指标正常情况应为40%以下。三是数据库系统存储占比已很高，存储严重不足。</w:t>
            </w:r>
          </w:p>
          <w:p>
            <w:pPr>
              <w:pStyle w:val="null3"/>
              <w:jc w:val="both"/>
            </w:pPr>
            <w:r>
              <w:rPr>
                <w:rFonts w:ascii="仿宋_GB2312" w:hAnsi="仿宋_GB2312" w:cs="仿宋_GB2312" w:eastAsia="仿宋_GB2312"/>
                <w:sz w:val="21"/>
              </w:rPr>
              <w:t>为更好地承载当前的业务系统运行需求，拟开展省中心核心数据库软件大版本升级及系统调优项目，通过本次项目实施，提升核心数据库系统处理能力，升级相关软件版本及硬件配置，提升整体系统运行性能，保证联网收费系统的安全稳定高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服务内容：</w:t>
            </w:r>
          </w:p>
          <w:p>
            <w:pPr>
              <w:pStyle w:val="null3"/>
              <w:jc w:val="both"/>
            </w:pPr>
            <w:r>
              <w:rPr>
                <w:rFonts w:ascii="仿宋_GB2312" w:hAnsi="仿宋_GB2312" w:cs="仿宋_GB2312" w:eastAsia="仿宋_GB2312"/>
                <w:sz w:val="21"/>
              </w:rPr>
              <w:t>为了保障高速公路联网收费系统高效、稳定安全运行，保障各项业务正常开展，并满足现在及未来</w:t>
            </w:r>
            <w:r>
              <w:rPr>
                <w:rFonts w:ascii="仿宋_GB2312" w:hAnsi="仿宋_GB2312" w:cs="仿宋_GB2312" w:eastAsia="仿宋_GB2312"/>
                <w:sz w:val="21"/>
              </w:rPr>
              <w:t>2年业务性能及资源需求，本次将对联网收费系统核心数据库系统及一体机进行升级优化。工作内容具体包括核心数据库及相关配套模块软件大版本升级、核心数据库一体机配置系统和存储管理软件系统大版本升级、核心数据库系统全面调整优化等三部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核心数据库及相关配套模块软件大版本升级：</w:t>
            </w:r>
          </w:p>
          <w:p>
            <w:pPr>
              <w:pStyle w:val="null3"/>
            </w:pPr>
            <w:r>
              <w:rPr>
                <w:rFonts w:ascii="仿宋_GB2312" w:hAnsi="仿宋_GB2312" w:cs="仿宋_GB2312" w:eastAsia="仿宋_GB2312"/>
                <w:sz w:val="21"/>
              </w:rPr>
              <w:t>升级核心数据库版本至最新稳定版本，更新完善数据库软件、集群软件、多租户软件、分区软件、调优监控等网络安全补丁，优化联机事务处理过程、实时分析、文档存储、实时数据仓库、大数据湖及图表分析等业务流程，提高数据库性能、运行效率及安全保障能力。包括但不限于以下工作内容：</w:t>
            </w:r>
          </w:p>
          <w:p>
            <w:pPr>
              <w:pStyle w:val="null3"/>
            </w:pPr>
            <w:r>
              <w:rPr>
                <w:rFonts w:ascii="仿宋_GB2312" w:hAnsi="仿宋_GB2312" w:cs="仿宋_GB2312" w:eastAsia="仿宋_GB2312"/>
                <w:sz w:val="21"/>
              </w:rPr>
              <w:t>1. 现状检测</w:t>
            </w:r>
          </w:p>
          <w:p>
            <w:pPr>
              <w:pStyle w:val="null3"/>
            </w:pPr>
            <w:r>
              <w:rPr>
                <w:rFonts w:ascii="仿宋_GB2312" w:hAnsi="仿宋_GB2312" w:cs="仿宋_GB2312" w:eastAsia="仿宋_GB2312"/>
                <w:sz w:val="21"/>
              </w:rPr>
              <w:t>需对现有数据库系统生产环境进行全面检查。</w:t>
            </w:r>
          </w:p>
          <w:p>
            <w:pPr>
              <w:pStyle w:val="null3"/>
            </w:pPr>
            <w:r>
              <w:rPr>
                <w:rFonts w:ascii="仿宋_GB2312" w:hAnsi="仿宋_GB2312" w:cs="仿宋_GB2312" w:eastAsia="仿宋_GB2312"/>
                <w:sz w:val="21"/>
              </w:rPr>
              <w:t>2. 开展兼容性评估测试及文档记录准备</w:t>
            </w:r>
          </w:p>
          <w:p>
            <w:pPr>
              <w:pStyle w:val="null3"/>
            </w:pPr>
            <w:r>
              <w:rPr>
                <w:rFonts w:ascii="仿宋_GB2312" w:hAnsi="仿宋_GB2312" w:cs="仿宋_GB2312" w:eastAsia="仿宋_GB2312"/>
                <w:sz w:val="21"/>
              </w:rPr>
              <w:t>需对数据库软件、集群软件、多租户软件、分区软件、调优监控等软件开展兼容性评估测试，并对目标版本修复情况进行评估，需提供保障回退及应急措施。</w:t>
            </w:r>
          </w:p>
          <w:p>
            <w:pPr>
              <w:pStyle w:val="null3"/>
            </w:pPr>
            <w:r>
              <w:rPr>
                <w:rFonts w:ascii="仿宋_GB2312" w:hAnsi="仿宋_GB2312" w:cs="仿宋_GB2312" w:eastAsia="仿宋_GB2312"/>
                <w:sz w:val="21"/>
              </w:rPr>
              <w:t>3. 对补丁集优化校验</w:t>
            </w:r>
          </w:p>
          <w:p>
            <w:pPr>
              <w:pStyle w:val="null3"/>
            </w:pPr>
            <w:r>
              <w:rPr>
                <w:rFonts w:ascii="仿宋_GB2312" w:hAnsi="仿宋_GB2312" w:cs="仿宋_GB2312" w:eastAsia="仿宋_GB2312"/>
                <w:sz w:val="21"/>
              </w:rPr>
              <w:t>本次项目所提供的补丁集需符合最佳升级实践，对需要的软件补丁集和所有小补丁进行校验，并确保补丁集在网络传输过程中的完整性。</w:t>
            </w:r>
          </w:p>
          <w:p>
            <w:pPr>
              <w:pStyle w:val="null3"/>
            </w:pPr>
            <w:r>
              <w:rPr>
                <w:rFonts w:ascii="仿宋_GB2312" w:hAnsi="仿宋_GB2312" w:cs="仿宋_GB2312" w:eastAsia="仿宋_GB2312"/>
                <w:sz w:val="21"/>
              </w:rPr>
              <w:t>4. 编制升级方案</w:t>
            </w:r>
          </w:p>
          <w:p>
            <w:pPr>
              <w:pStyle w:val="null3"/>
            </w:pPr>
            <w:r>
              <w:rPr>
                <w:rFonts w:ascii="仿宋_GB2312" w:hAnsi="仿宋_GB2312" w:cs="仿宋_GB2312" w:eastAsia="仿宋_GB2312"/>
                <w:sz w:val="21"/>
              </w:rPr>
              <w:t>需提供详细的升级操作步骤，包括软件版本升级资料包和小模块升级准备；需提供数据库字典和各组件升级的应急保障措施。</w:t>
            </w:r>
          </w:p>
          <w:p>
            <w:pPr>
              <w:pStyle w:val="null3"/>
            </w:pPr>
            <w:r>
              <w:rPr>
                <w:rFonts w:ascii="仿宋_GB2312" w:hAnsi="仿宋_GB2312" w:cs="仿宋_GB2312" w:eastAsia="仿宋_GB2312"/>
                <w:sz w:val="21"/>
              </w:rPr>
              <w:t>5. 编制应急方案</w:t>
            </w:r>
          </w:p>
          <w:p>
            <w:pPr>
              <w:pStyle w:val="null3"/>
            </w:pPr>
            <w:r>
              <w:rPr>
                <w:rFonts w:ascii="仿宋_GB2312" w:hAnsi="仿宋_GB2312" w:cs="仿宋_GB2312" w:eastAsia="仿宋_GB2312"/>
                <w:sz w:val="21"/>
              </w:rPr>
              <w:t>应急方案需充分考虑各类潜在问题，并制定应急方案，保障紧急情况下，由升级人员可将所有升级节点回退至迁移前状态并由运维方验证所涉及的各类业务不受影响。</w:t>
            </w:r>
          </w:p>
          <w:p>
            <w:pPr>
              <w:pStyle w:val="null3"/>
            </w:pPr>
            <w:r>
              <w:rPr>
                <w:rFonts w:ascii="仿宋_GB2312" w:hAnsi="仿宋_GB2312" w:cs="仿宋_GB2312" w:eastAsia="仿宋_GB2312"/>
                <w:sz w:val="21"/>
              </w:rPr>
              <w:t>6. 升级前准备</w:t>
            </w:r>
          </w:p>
          <w:p>
            <w:pPr>
              <w:pStyle w:val="null3"/>
            </w:pPr>
            <w:r>
              <w:rPr>
                <w:rFonts w:ascii="仿宋_GB2312" w:hAnsi="仿宋_GB2312" w:cs="仿宋_GB2312" w:eastAsia="仿宋_GB2312"/>
                <w:sz w:val="21"/>
              </w:rPr>
              <w:t>本项目要求做好升级前的各项检查和准备：一是做好升级前基线数据采集和分析，采集业务高峰时段的性能指标数据，掌握升级前每个节点日常业务高峰时段的负载和等待事件等相关的性能指标数据。二是进行完整的数据备份和升级前的必要性检查，进行完整性验证。</w:t>
            </w:r>
          </w:p>
          <w:p>
            <w:pPr>
              <w:pStyle w:val="null3"/>
            </w:pPr>
            <w:r>
              <w:rPr>
                <w:rFonts w:ascii="仿宋_GB2312" w:hAnsi="仿宋_GB2312" w:cs="仿宋_GB2312" w:eastAsia="仿宋_GB2312"/>
                <w:sz w:val="21"/>
              </w:rPr>
              <w:t>7. 升级方案的实施</w:t>
            </w:r>
          </w:p>
          <w:p>
            <w:pPr>
              <w:pStyle w:val="null3"/>
              <w:jc w:val="both"/>
            </w:pPr>
            <w:r>
              <w:rPr>
                <w:rFonts w:ascii="仿宋_GB2312" w:hAnsi="仿宋_GB2312" w:cs="仿宋_GB2312" w:eastAsia="仿宋_GB2312"/>
                <w:sz w:val="21"/>
              </w:rPr>
              <w:t>实施过程严格按照前期编制的实施方案内容，在规定时间内完成数据库软件版本升级等工作，在升级完成并确认运转正常后，提供必要的业务跟踪保障，确保联网收费系统的稳定运行。</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核心数据库一体机配置系统和存储管理软件系统大版本升级：</w:t>
            </w:r>
          </w:p>
          <w:p>
            <w:pPr>
              <w:pStyle w:val="null3"/>
            </w:pPr>
            <w:r>
              <w:rPr>
                <w:rFonts w:ascii="仿宋_GB2312" w:hAnsi="仿宋_GB2312" w:cs="仿宋_GB2312" w:eastAsia="仿宋_GB2312"/>
                <w:sz w:val="21"/>
              </w:rPr>
              <w:t>将配置系统和存储管理软件系统升级至最新稳定版本，提升数据库环境安全防护能力，提高数据库与业务系统的兼容性。实施内容主要包括：升级4个计算服务器相关系统、6个存储服务器相关系统、2个核心交换机相关系统、新版本存储管理软件系统。</w:t>
            </w:r>
          </w:p>
          <w:p>
            <w:pPr>
              <w:pStyle w:val="null3"/>
            </w:pPr>
            <w:r>
              <w:rPr>
                <w:rFonts w:ascii="仿宋_GB2312" w:hAnsi="仿宋_GB2312" w:cs="仿宋_GB2312" w:eastAsia="仿宋_GB2312"/>
                <w:sz w:val="21"/>
              </w:rPr>
              <w:t>实施过程中要在线完成一体机硬件环境滚动升级，尽可能减少数据库停机时间，降低对业务和数据的影响，包括但不限于以下工作内容：</w:t>
            </w:r>
          </w:p>
          <w:p>
            <w:pPr>
              <w:pStyle w:val="null3"/>
            </w:pPr>
            <w:r>
              <w:rPr>
                <w:rFonts w:ascii="仿宋_GB2312" w:hAnsi="仿宋_GB2312" w:cs="仿宋_GB2312" w:eastAsia="仿宋_GB2312"/>
                <w:sz w:val="21"/>
              </w:rPr>
              <w:t>1. 现状检测</w:t>
            </w:r>
          </w:p>
          <w:p>
            <w:pPr>
              <w:pStyle w:val="null3"/>
            </w:pPr>
            <w:r>
              <w:rPr>
                <w:rFonts w:ascii="仿宋_GB2312" w:hAnsi="仿宋_GB2312" w:cs="仿宋_GB2312" w:eastAsia="仿宋_GB2312"/>
                <w:sz w:val="21"/>
              </w:rPr>
              <w:t>需开展数据备份和系统健康检查，开展版本兼容性验证，并提供相关测试文档。</w:t>
            </w:r>
          </w:p>
          <w:p>
            <w:pPr>
              <w:pStyle w:val="null3"/>
            </w:pPr>
            <w:r>
              <w:rPr>
                <w:rFonts w:ascii="仿宋_GB2312" w:hAnsi="仿宋_GB2312" w:cs="仿宋_GB2312" w:eastAsia="仿宋_GB2312"/>
                <w:sz w:val="21"/>
              </w:rPr>
              <w:t>2. 补丁分析及准备</w:t>
            </w:r>
          </w:p>
          <w:p>
            <w:pPr>
              <w:pStyle w:val="null3"/>
            </w:pPr>
            <w:r>
              <w:rPr>
                <w:rFonts w:ascii="仿宋_GB2312" w:hAnsi="仿宋_GB2312" w:cs="仿宋_GB2312" w:eastAsia="仿宋_GB2312"/>
                <w:sz w:val="21"/>
              </w:rPr>
              <w:t>需进行目标配置及数据库网络基础环境的版本分析，对已有安装的补丁在目标版本的补丁分析，做好补丁更新准备。</w:t>
            </w:r>
          </w:p>
          <w:p>
            <w:pPr>
              <w:pStyle w:val="null3"/>
            </w:pPr>
            <w:r>
              <w:rPr>
                <w:rFonts w:ascii="仿宋_GB2312" w:hAnsi="仿宋_GB2312" w:cs="仿宋_GB2312" w:eastAsia="仿宋_GB2312"/>
                <w:sz w:val="21"/>
              </w:rPr>
              <w:t>3. 制定方案</w:t>
            </w:r>
          </w:p>
          <w:p>
            <w:pPr>
              <w:pStyle w:val="null3"/>
            </w:pPr>
            <w:r>
              <w:rPr>
                <w:rFonts w:ascii="仿宋_GB2312" w:hAnsi="仿宋_GB2312" w:cs="仿宋_GB2312" w:eastAsia="仿宋_GB2312"/>
                <w:sz w:val="21"/>
              </w:rPr>
              <w:t>本次项目需结合实际生产环境，在充分考虑各类风险和突发</w:t>
            </w:r>
          </w:p>
          <w:p>
            <w:pPr>
              <w:pStyle w:val="null3"/>
            </w:pPr>
            <w:r>
              <w:rPr>
                <w:rFonts w:ascii="仿宋_GB2312" w:hAnsi="仿宋_GB2312" w:cs="仿宋_GB2312" w:eastAsia="仿宋_GB2312"/>
                <w:sz w:val="21"/>
              </w:rPr>
              <w:t>事故的前提下，提供详细的升级方案、验证方案及应急方案。</w:t>
            </w:r>
          </w:p>
          <w:p>
            <w:pPr>
              <w:pStyle w:val="null3"/>
            </w:pPr>
            <w:r>
              <w:rPr>
                <w:rFonts w:ascii="仿宋_GB2312" w:hAnsi="仿宋_GB2312" w:cs="仿宋_GB2312" w:eastAsia="仿宋_GB2312"/>
                <w:sz w:val="21"/>
              </w:rPr>
              <w:t>4. 系统升级</w:t>
            </w:r>
          </w:p>
          <w:p>
            <w:pPr>
              <w:pStyle w:val="null3"/>
              <w:jc w:val="both"/>
            </w:pPr>
            <w:r>
              <w:rPr>
                <w:rFonts w:ascii="仿宋_GB2312" w:hAnsi="仿宋_GB2312" w:cs="仿宋_GB2312" w:eastAsia="仿宋_GB2312"/>
                <w:sz w:val="21"/>
              </w:rPr>
              <w:t>实施过程严格按照前期编制的实施方案内容，在规定时间内完成系统升级等工作，在升级完成并确认运转正常后，提供必要的业务跟踪保障，确保联网收费系统的稳定运行。</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核心数据库系统全面调整优化：</w:t>
            </w:r>
          </w:p>
          <w:p>
            <w:pPr>
              <w:pStyle w:val="null3"/>
            </w:pPr>
            <w:r>
              <w:rPr>
                <w:rFonts w:ascii="仿宋_GB2312" w:hAnsi="仿宋_GB2312" w:cs="仿宋_GB2312" w:eastAsia="仿宋_GB2312"/>
                <w:sz w:val="21"/>
              </w:rPr>
              <w:t>根据对联网收费系统及各业务科部门的调研需求和规划，对系统数据库进行全面整体优化，解决核心数据库及相关库的性能问题。本次项目内容要求完成3轮优化：前2轮Top50 SQL 执行速度提升20%，Top20关键批量业务执行时间减少20%；第3轮TOP10 SQL执行速度提升 30%，Top10关键批量业务执行时间减少30%；数据库系统整体性能影响优化到40%以下。包括但不限于以下工作内容：</w:t>
            </w:r>
          </w:p>
          <w:p>
            <w:pPr>
              <w:pStyle w:val="null3"/>
            </w:pPr>
            <w:r>
              <w:rPr>
                <w:rFonts w:ascii="仿宋_GB2312" w:hAnsi="仿宋_GB2312" w:cs="仿宋_GB2312" w:eastAsia="仿宋_GB2312"/>
                <w:sz w:val="21"/>
              </w:rPr>
              <w:t>1. 数据库优化内容</w:t>
            </w:r>
          </w:p>
          <w:p>
            <w:pPr>
              <w:pStyle w:val="null3"/>
            </w:pPr>
            <w:r>
              <w:rPr>
                <w:rFonts w:ascii="仿宋_GB2312" w:hAnsi="仿宋_GB2312" w:cs="仿宋_GB2312" w:eastAsia="仿宋_GB2312"/>
                <w:sz w:val="21"/>
              </w:rPr>
              <w:t>（1）需对SQL语句进行调整和优化；</w:t>
            </w:r>
          </w:p>
          <w:p>
            <w:pPr>
              <w:pStyle w:val="null3"/>
            </w:pPr>
            <w:r>
              <w:rPr>
                <w:rFonts w:ascii="仿宋_GB2312" w:hAnsi="仿宋_GB2312" w:cs="仿宋_GB2312" w:eastAsia="仿宋_GB2312"/>
                <w:sz w:val="21"/>
              </w:rPr>
              <w:t>（2）需对出现执行计划不稳定SQL语句进行修正和稳固；</w:t>
            </w:r>
          </w:p>
          <w:p>
            <w:pPr>
              <w:pStyle w:val="null3"/>
            </w:pPr>
            <w:r>
              <w:rPr>
                <w:rFonts w:ascii="仿宋_GB2312" w:hAnsi="仿宋_GB2312" w:cs="仿宋_GB2312" w:eastAsia="仿宋_GB2312"/>
                <w:sz w:val="21"/>
              </w:rPr>
              <w:t>（3）需结合实际业务需求对数据库设计进行优化，提升数据获取效率和查询效率；</w:t>
            </w:r>
          </w:p>
          <w:p>
            <w:pPr>
              <w:pStyle w:val="null3"/>
            </w:pPr>
            <w:r>
              <w:rPr>
                <w:rFonts w:ascii="仿宋_GB2312" w:hAnsi="仿宋_GB2312" w:cs="仿宋_GB2312" w:eastAsia="仿宋_GB2312"/>
                <w:sz w:val="21"/>
              </w:rPr>
              <w:t>（4）需对数据缓存与压缩策略进行优化，需为不同的数据选择不同的缓存与压缩策略，提升数据存储与检索效率；</w:t>
            </w:r>
          </w:p>
          <w:p>
            <w:pPr>
              <w:pStyle w:val="null3"/>
            </w:pPr>
            <w:r>
              <w:rPr>
                <w:rFonts w:ascii="仿宋_GB2312" w:hAnsi="仿宋_GB2312" w:cs="仿宋_GB2312" w:eastAsia="仿宋_GB2312"/>
                <w:sz w:val="21"/>
              </w:rPr>
              <w:t>（5）需对存储过程和函数优化，需优化应用代码中的数据处理算法，减少资源占用与耗时；</w:t>
            </w:r>
          </w:p>
          <w:p>
            <w:pPr>
              <w:pStyle w:val="null3"/>
            </w:pPr>
            <w:r>
              <w:rPr>
                <w:rFonts w:ascii="仿宋_GB2312" w:hAnsi="仿宋_GB2312" w:cs="仿宋_GB2312" w:eastAsia="仿宋_GB2312"/>
                <w:sz w:val="21"/>
              </w:rPr>
              <w:t>（6）需对数据库参数进行调整优化，为系统资源和业务系统需求进行参数分配调整；</w:t>
            </w:r>
          </w:p>
          <w:p>
            <w:pPr>
              <w:pStyle w:val="null3"/>
            </w:pPr>
            <w:r>
              <w:rPr>
                <w:rFonts w:ascii="仿宋_GB2312" w:hAnsi="仿宋_GB2312" w:cs="仿宋_GB2312" w:eastAsia="仿宋_GB2312"/>
                <w:sz w:val="21"/>
              </w:rPr>
              <w:t>（7）需对资源限制进行启用，如对会话限制、对并发和用户程序限制等，减少系统资源滥用；</w:t>
            </w:r>
          </w:p>
          <w:p>
            <w:pPr>
              <w:pStyle w:val="null3"/>
            </w:pPr>
            <w:r>
              <w:rPr>
                <w:rFonts w:ascii="仿宋_GB2312" w:hAnsi="仿宋_GB2312" w:cs="仿宋_GB2312" w:eastAsia="仿宋_GB2312"/>
                <w:sz w:val="21"/>
              </w:rPr>
              <w:t>（8）需对数据库进行系统性修复，如索引修复、表修复、统计信息收集等进行检查和修复</w:t>
            </w:r>
          </w:p>
          <w:p>
            <w:pPr>
              <w:pStyle w:val="null3"/>
            </w:pPr>
            <w:r>
              <w:rPr>
                <w:rFonts w:ascii="仿宋_GB2312" w:hAnsi="仿宋_GB2312" w:cs="仿宋_GB2312" w:eastAsia="仿宋_GB2312"/>
                <w:sz w:val="21"/>
              </w:rPr>
              <w:t>（9）需在完成优化工作后，对系统进行持续性监测调整，确保整体系统优化效果。</w:t>
            </w:r>
          </w:p>
          <w:p>
            <w:pPr>
              <w:pStyle w:val="null3"/>
            </w:pPr>
            <w:r>
              <w:rPr>
                <w:rFonts w:ascii="仿宋_GB2312" w:hAnsi="仿宋_GB2312" w:cs="仿宋_GB2312" w:eastAsia="仿宋_GB2312"/>
                <w:sz w:val="21"/>
              </w:rPr>
              <w:t>2. 数据库优化流程</w:t>
            </w:r>
          </w:p>
          <w:p>
            <w:pPr>
              <w:pStyle w:val="null3"/>
            </w:pPr>
            <w:r>
              <w:rPr>
                <w:rFonts w:ascii="仿宋_GB2312" w:hAnsi="仿宋_GB2312" w:cs="仿宋_GB2312" w:eastAsia="仿宋_GB2312"/>
                <w:sz w:val="21"/>
              </w:rPr>
              <w:t>（1）信息收集与分析</w:t>
            </w:r>
          </w:p>
          <w:p>
            <w:pPr>
              <w:pStyle w:val="null3"/>
            </w:pPr>
            <w:r>
              <w:rPr>
                <w:rFonts w:ascii="仿宋_GB2312" w:hAnsi="仿宋_GB2312" w:cs="仿宋_GB2312" w:eastAsia="仿宋_GB2312"/>
                <w:sz w:val="21"/>
              </w:rPr>
              <w:t>本次项目需开展操作系统和存储配置和性能数据收集与分析，建立性能指标基准。</w:t>
            </w:r>
          </w:p>
          <w:p>
            <w:pPr>
              <w:pStyle w:val="null3"/>
            </w:pPr>
            <w:r>
              <w:rPr>
                <w:rFonts w:ascii="仿宋_GB2312" w:hAnsi="仿宋_GB2312" w:cs="仿宋_GB2312" w:eastAsia="仿宋_GB2312"/>
                <w:sz w:val="21"/>
              </w:rPr>
              <w:t>（2）制定优化方案</w:t>
            </w:r>
          </w:p>
          <w:p>
            <w:pPr>
              <w:pStyle w:val="null3"/>
            </w:pPr>
            <w:r>
              <w:rPr>
                <w:rFonts w:ascii="仿宋_GB2312" w:hAnsi="仿宋_GB2312" w:cs="仿宋_GB2312" w:eastAsia="仿宋_GB2312"/>
                <w:sz w:val="21"/>
              </w:rPr>
              <w:t>需结合实际生产环境，在充分考虑各类风险和突发事故的前提下，提供详细的数据库优化方案、需满足最佳升级实践方案。</w:t>
            </w:r>
          </w:p>
          <w:p>
            <w:pPr>
              <w:pStyle w:val="null3"/>
            </w:pPr>
            <w:r>
              <w:rPr>
                <w:rFonts w:ascii="仿宋_GB2312" w:hAnsi="仿宋_GB2312" w:cs="仿宋_GB2312" w:eastAsia="仿宋_GB2312"/>
                <w:sz w:val="21"/>
              </w:rPr>
              <w:t>（3）方案实施</w:t>
            </w:r>
          </w:p>
          <w:p>
            <w:pPr>
              <w:pStyle w:val="null3"/>
              <w:jc w:val="both"/>
            </w:pPr>
            <w:r>
              <w:rPr>
                <w:rFonts w:ascii="仿宋_GB2312" w:hAnsi="仿宋_GB2312" w:cs="仿宋_GB2312" w:eastAsia="仿宋_GB2312"/>
                <w:sz w:val="21"/>
              </w:rPr>
              <w:t>实施过程严格按照前期编制的实施方案内容，在规定时间内完成数据库系统优化等工作，在系统优化内容完成并确认运转正常后，提供必要的业务跟踪保障，确保联网收费系统的稳定运行。</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交付内容：</w:t>
            </w:r>
          </w:p>
          <w:p>
            <w:pPr>
              <w:pStyle w:val="null3"/>
            </w:pPr>
            <w:r>
              <w:rPr>
                <w:rFonts w:ascii="仿宋_GB2312" w:hAnsi="仿宋_GB2312" w:cs="仿宋_GB2312" w:eastAsia="仿宋_GB2312"/>
                <w:sz w:val="21"/>
              </w:rPr>
              <w:t>1.《省中心核心数据库软件大版本升级及系统调优项目检测报告》；</w:t>
            </w:r>
          </w:p>
          <w:p>
            <w:pPr>
              <w:pStyle w:val="null3"/>
            </w:pPr>
            <w:r>
              <w:rPr>
                <w:rFonts w:ascii="仿宋_GB2312" w:hAnsi="仿宋_GB2312" w:cs="仿宋_GB2312" w:eastAsia="仿宋_GB2312"/>
                <w:sz w:val="21"/>
              </w:rPr>
              <w:t>2.《省中心核心数据库软件大版本升级及系统调优项目实施方案设计报告》；</w:t>
            </w:r>
          </w:p>
          <w:p>
            <w:pPr>
              <w:pStyle w:val="null3"/>
            </w:pPr>
            <w:r>
              <w:rPr>
                <w:rFonts w:ascii="仿宋_GB2312" w:hAnsi="仿宋_GB2312" w:cs="仿宋_GB2312" w:eastAsia="仿宋_GB2312"/>
                <w:sz w:val="21"/>
              </w:rPr>
              <w:t>3.《省中心核心数据库软件大版本升级及系统调优项目实施方案》；</w:t>
            </w:r>
          </w:p>
          <w:p>
            <w:pPr>
              <w:pStyle w:val="null3"/>
            </w:pPr>
            <w:r>
              <w:rPr>
                <w:rFonts w:ascii="仿宋_GB2312" w:hAnsi="仿宋_GB2312" w:cs="仿宋_GB2312" w:eastAsia="仿宋_GB2312"/>
                <w:sz w:val="21"/>
              </w:rPr>
              <w:t>4.《省中心核心数据库软件大版本升级及系统调优项目试运行报告》；</w:t>
            </w:r>
          </w:p>
          <w:p>
            <w:pPr>
              <w:pStyle w:val="null3"/>
            </w:pPr>
            <w:r>
              <w:rPr>
                <w:rFonts w:ascii="仿宋_GB2312" w:hAnsi="仿宋_GB2312" w:cs="仿宋_GB2312" w:eastAsia="仿宋_GB2312"/>
                <w:sz w:val="21"/>
              </w:rPr>
              <w:t>5.《省中心核心数据库软件大版本升级及系统调优项目验收报告》；</w:t>
            </w:r>
          </w:p>
          <w:p>
            <w:pPr>
              <w:pStyle w:val="null3"/>
              <w:jc w:val="both"/>
            </w:pPr>
            <w:r>
              <w:rPr>
                <w:rFonts w:ascii="仿宋_GB2312" w:hAnsi="仿宋_GB2312" w:cs="仿宋_GB2312" w:eastAsia="仿宋_GB2312"/>
                <w:sz w:val="21"/>
              </w:rPr>
              <w:t>6.正版软件产品授权书。</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服务要求：</w:t>
            </w:r>
          </w:p>
          <w:p>
            <w:pPr>
              <w:pStyle w:val="null3"/>
            </w:pPr>
            <w:r>
              <w:rPr>
                <w:rFonts w:ascii="仿宋_GB2312" w:hAnsi="仿宋_GB2312" w:cs="仿宋_GB2312" w:eastAsia="仿宋_GB2312"/>
                <w:sz w:val="21"/>
              </w:rPr>
              <w:t>（一）服务时间及地点</w:t>
            </w:r>
          </w:p>
          <w:p>
            <w:pPr>
              <w:pStyle w:val="null3"/>
            </w:pPr>
            <w:r>
              <w:rPr>
                <w:rFonts w:ascii="仿宋_GB2312" w:hAnsi="仿宋_GB2312" w:cs="仿宋_GB2312" w:eastAsia="仿宋_GB2312"/>
                <w:sz w:val="21"/>
              </w:rPr>
              <w:t>服务时间：自合同签订之日且具备现场实施的条件下，3个月内完成项目所有实施内容，向采购方提交项目书面所有交付成果且经甲方确定后，进入1个月试运行期。试运行期满并通过采购方验收之日起正式进入服务期，服务期为12个月，实现服务期内新增的数据库版本同步升级。</w:t>
            </w:r>
          </w:p>
          <w:p>
            <w:pPr>
              <w:pStyle w:val="null3"/>
            </w:pPr>
            <w:r>
              <w:rPr>
                <w:rFonts w:ascii="仿宋_GB2312" w:hAnsi="仿宋_GB2312" w:cs="仿宋_GB2312" w:eastAsia="仿宋_GB2312"/>
                <w:sz w:val="21"/>
              </w:rPr>
              <w:t>服务地点：陕西省高速公路收费中心</w:t>
            </w:r>
          </w:p>
          <w:p>
            <w:pPr>
              <w:pStyle w:val="null3"/>
            </w:pPr>
            <w:r>
              <w:rPr>
                <w:rFonts w:ascii="仿宋_GB2312" w:hAnsi="仿宋_GB2312" w:cs="仿宋_GB2312" w:eastAsia="仿宋_GB2312"/>
                <w:sz w:val="21"/>
              </w:rPr>
              <w:t>（二）项目人员管理要求</w:t>
            </w:r>
          </w:p>
          <w:p>
            <w:pPr>
              <w:pStyle w:val="null3"/>
            </w:pPr>
            <w:r>
              <w:rPr>
                <w:rFonts w:ascii="仿宋_GB2312" w:hAnsi="仿宋_GB2312" w:cs="仿宋_GB2312" w:eastAsia="仿宋_GB2312"/>
                <w:sz w:val="21"/>
              </w:rPr>
              <w:t>在服务过程中，供应商应提供服务过程中所指派具体承担服务的人员名单及其资质证明文件，保证所提供信息的准确性和有效性。采购方有权对派入人员的资格和相关信息进行审核。为确保服务工作的顺利开展，供应商应对服务人员素质整体把关，原则上应满足以下条件：</w:t>
            </w:r>
          </w:p>
          <w:p>
            <w:pPr>
              <w:pStyle w:val="null3"/>
            </w:pPr>
            <w:r>
              <w:rPr>
                <w:rFonts w:ascii="仿宋_GB2312" w:hAnsi="仿宋_GB2312" w:cs="仿宋_GB2312" w:eastAsia="仿宋_GB2312"/>
                <w:sz w:val="21"/>
              </w:rPr>
              <w:t>1.现场服务工程师不少于2人，并且具备OracleOCM认证证书。</w:t>
            </w:r>
          </w:p>
          <w:p>
            <w:pPr>
              <w:pStyle w:val="null3"/>
            </w:pPr>
            <w:r>
              <w:rPr>
                <w:rFonts w:ascii="仿宋_GB2312" w:hAnsi="仿宋_GB2312" w:cs="仿宋_GB2312" w:eastAsia="仿宋_GB2312"/>
                <w:sz w:val="21"/>
              </w:rPr>
              <w:t>2.为保证项目的连续性，在项目服务周期内不得更换服务人员。</w:t>
            </w:r>
          </w:p>
          <w:p>
            <w:pPr>
              <w:pStyle w:val="null3"/>
            </w:pPr>
            <w:r>
              <w:rPr>
                <w:rFonts w:ascii="仿宋_GB2312" w:hAnsi="仿宋_GB2312" w:cs="仿宋_GB2312" w:eastAsia="仿宋_GB2312"/>
                <w:sz w:val="21"/>
              </w:rPr>
              <w:t>（三）运行保障要求</w:t>
            </w:r>
          </w:p>
          <w:p>
            <w:pPr>
              <w:pStyle w:val="null3"/>
            </w:pPr>
            <w:r>
              <w:rPr>
                <w:rFonts w:ascii="仿宋_GB2312" w:hAnsi="仿宋_GB2312" w:cs="仿宋_GB2312" w:eastAsia="仿宋_GB2312"/>
                <w:sz w:val="21"/>
              </w:rPr>
              <w:t>供应商应充分考虑升级所必须的运行保障机制，包括但不限于以下保证措施：</w:t>
            </w:r>
          </w:p>
          <w:p>
            <w:pPr>
              <w:pStyle w:val="null3"/>
            </w:pPr>
            <w:r>
              <w:rPr>
                <w:rFonts w:ascii="仿宋_GB2312" w:hAnsi="仿宋_GB2312" w:cs="仿宋_GB2312" w:eastAsia="仿宋_GB2312"/>
                <w:sz w:val="21"/>
              </w:rPr>
              <w:t>1.提供一台升级测试备用机，要求备用机与中心现有一体机软硬件环境性能相同，可复现现有一体机软硬件版本；能够完成软硬件目标版本升级测试；能够支撑现有业务软件运行；现中心已有一体机配置型号为二分之一配，为确保在系统升级时备用机能够临时接管业务系统，备用机配置不得低于现有一体机的四分之一配置型号并于合同签订后3日内备用机到场（测试备用机技术参数后附）。</w:t>
            </w:r>
          </w:p>
          <w:p>
            <w:pPr>
              <w:pStyle w:val="null3"/>
            </w:pPr>
            <w:r>
              <w:rPr>
                <w:rFonts w:ascii="仿宋_GB2312" w:hAnsi="仿宋_GB2312" w:cs="仿宋_GB2312" w:eastAsia="仿宋_GB2312"/>
                <w:sz w:val="21"/>
              </w:rPr>
              <w:t>2.完成设备升级的所有测试，包括但不限于对软件、服务器及交换机的升级测试。</w:t>
            </w:r>
          </w:p>
          <w:p>
            <w:pPr>
              <w:pStyle w:val="null3"/>
            </w:pPr>
            <w:r>
              <w:rPr>
                <w:rFonts w:ascii="仿宋_GB2312" w:hAnsi="仿宋_GB2312" w:cs="仿宋_GB2312" w:eastAsia="仿宋_GB2312"/>
                <w:sz w:val="21"/>
              </w:rPr>
              <w:t>3.提供保障升级安全性的回退机制方案。</w:t>
            </w:r>
          </w:p>
          <w:p>
            <w:pPr>
              <w:pStyle w:val="null3"/>
            </w:pPr>
            <w:r>
              <w:rPr>
                <w:rFonts w:ascii="仿宋_GB2312" w:hAnsi="仿宋_GB2312" w:cs="仿宋_GB2312" w:eastAsia="仿宋_GB2312"/>
                <w:sz w:val="21"/>
              </w:rPr>
              <w:t>（四）网络安全要求</w:t>
            </w:r>
          </w:p>
          <w:p>
            <w:pPr>
              <w:pStyle w:val="null3"/>
            </w:pPr>
            <w:r>
              <w:rPr>
                <w:rFonts w:ascii="仿宋_GB2312" w:hAnsi="仿宋_GB2312" w:cs="仿宋_GB2312" w:eastAsia="仿宋_GB2312"/>
                <w:sz w:val="21"/>
              </w:rPr>
              <w:t>供应商具备健全的网络安全服务体系，具有网络安全隐患排查、完善加固、预警监测、应对攻击等服务能力，配备具有相关技术能力的网络安全专项人员，为本项目提供漏洞检测、策略配置、加固整改、安全监测、应急处置等保障措施，确保系统安全稳定运行。供应商未发生过重大网络安全事件，按照要求签署网络安全责任协议</w:t>
            </w:r>
          </w:p>
          <w:p>
            <w:pPr>
              <w:pStyle w:val="null3"/>
            </w:pPr>
            <w:r>
              <w:rPr>
                <w:rFonts w:ascii="仿宋_GB2312" w:hAnsi="仿宋_GB2312" w:cs="仿宋_GB2312" w:eastAsia="仿宋_GB2312"/>
                <w:sz w:val="21"/>
              </w:rPr>
              <w:t>（五）保密要求</w:t>
            </w:r>
          </w:p>
          <w:p>
            <w:pPr>
              <w:pStyle w:val="null3"/>
              <w:jc w:val="both"/>
            </w:pPr>
            <w:r>
              <w:rPr>
                <w:rFonts w:ascii="仿宋_GB2312" w:hAnsi="仿宋_GB2312" w:cs="仿宋_GB2312" w:eastAsia="仿宋_GB2312"/>
                <w:sz w:val="21"/>
              </w:rPr>
              <w:t>项目实施过程中所收集、产生的所有与本项目相关的文档、资料，包括文字、图片、表格、数字等各种形式的所属权均归属采购方，供应商必须对所涉及到的内容保密，供应商及服务人员应按照要求签署保密协议。</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b/>
              </w:rPr>
              <w:t>测试备用机技术参数：</w:t>
            </w:r>
          </w:p>
          <w:p>
            <w:pPr>
              <w:pStyle w:val="null3"/>
            </w:pPr>
            <w:r>
              <w:rPr>
                <w:rFonts w:ascii="仿宋_GB2312" w:hAnsi="仿宋_GB2312" w:cs="仿宋_GB2312" w:eastAsia="仿宋_GB2312"/>
                <w:b/>
              </w:rPr>
              <w:t>测试备用机配置不能低于下列建议配置：</w:t>
            </w:r>
          </w:p>
          <w:tbl>
            <w:tblPr>
              <w:tblInd w:type="dxa" w:w="120"/>
              <w:tblBorders>
                <w:top w:val="none" w:color="000000" w:sz="4"/>
                <w:left w:val="none" w:color="000000" w:sz="4"/>
                <w:bottom w:val="none" w:color="000000" w:sz="4"/>
                <w:right w:val="none" w:color="000000" w:sz="4"/>
                <w:insideH w:val="none"/>
                <w:insideV w:val="none"/>
              </w:tblBorders>
            </w:tblPr>
            <w:tblGrid>
              <w:gridCol w:w="116"/>
              <w:gridCol w:w="111"/>
              <w:gridCol w:w="234"/>
              <w:gridCol w:w="1859"/>
              <w:gridCol w:w="231"/>
            </w:tblGrid>
            <w:tr>
              <w:tc>
                <w:tcPr>
                  <w:tcW w:type="dxa" w:w="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型号</w:t>
                  </w:r>
                </w:p>
              </w:tc>
              <w:tc>
                <w:tcPr>
                  <w:tcW w:type="dxa" w:w="18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配置参数</w:t>
                  </w:r>
                </w:p>
              </w:tc>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数量</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测试备用一体机</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四分之一配置</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rPr>
                    <w:t>2个计算服务器：</w:t>
                  </w:r>
                </w:p>
                <w:p>
                  <w:pPr>
                    <w:pStyle w:val="null3"/>
                  </w:pPr>
                  <w:r>
                    <w:rPr>
                      <w:rFonts w:ascii="仿宋_GB2312" w:hAnsi="仿宋_GB2312" w:cs="仿宋_GB2312" w:eastAsia="仿宋_GB2312"/>
                      <w:sz w:val="20"/>
                    </w:rPr>
                    <w:t>每个计算节点</w:t>
                  </w:r>
                  <w:r>
                    <w:rPr>
                      <w:rFonts w:ascii="仿宋_GB2312" w:hAnsi="仿宋_GB2312" w:cs="仿宋_GB2312" w:eastAsia="仿宋_GB2312"/>
                      <w:sz w:val="20"/>
                    </w:rPr>
                    <w:t>2个24核Xeon 8160处理器 （主频2.1GHZ）每个计算节点</w:t>
                  </w:r>
                  <w:r>
                    <w:rPr>
                      <w:rFonts w:ascii="仿宋_GB2312" w:hAnsi="仿宋_GB2312" w:cs="仿宋_GB2312" w:eastAsia="仿宋_GB2312"/>
                      <w:sz w:val="20"/>
                    </w:rPr>
                    <w:t>384</w:t>
                  </w:r>
                  <w:r>
                    <w:rPr>
                      <w:rFonts w:ascii="仿宋_GB2312" w:hAnsi="仿宋_GB2312" w:cs="仿宋_GB2312" w:eastAsia="仿宋_GB2312"/>
                      <w:sz w:val="20"/>
                    </w:rPr>
                    <w:t>GB内存</w:t>
                  </w:r>
                </w:p>
                <w:p>
                  <w:pPr>
                    <w:pStyle w:val="null3"/>
                  </w:pPr>
                  <w:r>
                    <w:rPr>
                      <w:rFonts w:ascii="仿宋_GB2312" w:hAnsi="仿宋_GB2312" w:cs="仿宋_GB2312" w:eastAsia="仿宋_GB2312"/>
                      <w:sz w:val="20"/>
                    </w:rPr>
                    <w:t>每个计算节点</w:t>
                  </w:r>
                  <w:r>
                    <w:rPr>
                      <w:rFonts w:ascii="仿宋_GB2312" w:hAnsi="仿宋_GB2312" w:cs="仿宋_GB2312" w:eastAsia="仿宋_GB2312"/>
                      <w:sz w:val="20"/>
                    </w:rPr>
                    <w:t>2个40Gbps Infiniband接口，2个10/25 GB 光纤以太网接口</w:t>
                  </w:r>
                </w:p>
                <w:p>
                  <w:pPr>
                    <w:pStyle w:val="null3"/>
                  </w:pPr>
                  <w:r>
                    <w:rPr>
                      <w:rFonts w:ascii="仿宋_GB2312" w:hAnsi="仿宋_GB2312" w:cs="仿宋_GB2312" w:eastAsia="仿宋_GB2312"/>
                      <w:sz w:val="20"/>
                    </w:rPr>
                    <w:t>每个计算节点</w:t>
                  </w:r>
                  <w:r>
                    <w:rPr>
                      <w:rFonts w:ascii="仿宋_GB2312" w:hAnsi="仿宋_GB2312" w:cs="仿宋_GB2312" w:eastAsia="仿宋_GB2312"/>
                      <w:sz w:val="20"/>
                    </w:rPr>
                    <w:t>2个10Gbps/1Gbps以太网口</w:t>
                  </w:r>
                </w:p>
                <w:p>
                  <w:pPr>
                    <w:pStyle w:val="null3"/>
                  </w:pPr>
                  <w:r>
                    <w:rPr>
                      <w:rFonts w:ascii="仿宋_GB2312" w:hAnsi="仿宋_GB2312" w:cs="仿宋_GB2312" w:eastAsia="仿宋_GB2312"/>
                      <w:sz w:val="20"/>
                    </w:rPr>
                    <w:t>每个计算节点</w:t>
                  </w:r>
                  <w:r>
                    <w:rPr>
                      <w:rFonts w:ascii="仿宋_GB2312" w:hAnsi="仿宋_GB2312" w:cs="仿宋_GB2312" w:eastAsia="仿宋_GB2312"/>
                      <w:sz w:val="20"/>
                    </w:rPr>
                    <w:t>8块600GB 10Krpm SAS硬盘</w:t>
                  </w:r>
                </w:p>
                <w:p>
                  <w:pPr>
                    <w:pStyle w:val="null3"/>
                  </w:pPr>
                  <w:r>
                    <w:rPr>
                      <w:rFonts w:ascii="仿宋_GB2312" w:hAnsi="仿宋_GB2312" w:cs="仿宋_GB2312" w:eastAsia="仿宋_GB2312"/>
                      <w:sz w:val="20"/>
                      <w:b/>
                    </w:rPr>
                    <w:t>3个存储服务器：</w:t>
                  </w:r>
                </w:p>
                <w:p>
                  <w:pPr>
                    <w:pStyle w:val="null3"/>
                  </w:pPr>
                  <w:r>
                    <w:rPr>
                      <w:rFonts w:ascii="仿宋_GB2312" w:hAnsi="仿宋_GB2312" w:cs="仿宋_GB2312" w:eastAsia="仿宋_GB2312"/>
                      <w:sz w:val="20"/>
                    </w:rPr>
                    <w:t>每个存储节点</w:t>
                  </w:r>
                  <w:r>
                    <w:rPr>
                      <w:rFonts w:ascii="仿宋_GB2312" w:hAnsi="仿宋_GB2312" w:cs="仿宋_GB2312" w:eastAsia="仿宋_GB2312"/>
                      <w:sz w:val="20"/>
                    </w:rPr>
                    <w:t>2个10核Xeon 4114处理器（主频2.</w:t>
                  </w:r>
                  <w:r>
                    <w:rPr>
                      <w:rFonts w:ascii="仿宋_GB2312" w:hAnsi="仿宋_GB2312" w:cs="仿宋_GB2312" w:eastAsia="仿宋_GB2312"/>
                      <w:sz w:val="20"/>
                    </w:rPr>
                    <w:t>2</w:t>
                  </w:r>
                  <w:r>
                    <w:rPr>
                      <w:rFonts w:ascii="仿宋_GB2312" w:hAnsi="仿宋_GB2312" w:cs="仿宋_GB2312" w:eastAsia="仿宋_GB2312"/>
                      <w:sz w:val="20"/>
                    </w:rPr>
                    <w:t>GHZ）</w:t>
                  </w:r>
                </w:p>
                <w:p>
                  <w:pPr>
                    <w:pStyle w:val="null3"/>
                  </w:pPr>
                  <w:r>
                    <w:rPr>
                      <w:rFonts w:ascii="仿宋_GB2312" w:hAnsi="仿宋_GB2312" w:cs="仿宋_GB2312" w:eastAsia="仿宋_GB2312"/>
                      <w:sz w:val="20"/>
                    </w:rPr>
                    <w:t>每个存储节点内存</w:t>
                  </w:r>
                  <w:r>
                    <w:rPr>
                      <w:rFonts w:ascii="仿宋_GB2312" w:hAnsi="仿宋_GB2312" w:cs="仿宋_GB2312" w:eastAsia="仿宋_GB2312"/>
                      <w:sz w:val="20"/>
                    </w:rPr>
                    <w:t>192GB (12*16GB)</w:t>
                  </w:r>
                </w:p>
                <w:p>
                  <w:pPr>
                    <w:pStyle w:val="null3"/>
                  </w:pPr>
                  <w:r>
                    <w:rPr>
                      <w:rFonts w:ascii="仿宋_GB2312" w:hAnsi="仿宋_GB2312" w:cs="仿宋_GB2312" w:eastAsia="仿宋_GB2312"/>
                      <w:sz w:val="20"/>
                    </w:rPr>
                    <w:t>每个</w:t>
                  </w:r>
                  <w:r>
                    <w:rPr>
                      <w:rFonts w:ascii="仿宋_GB2312" w:hAnsi="仿宋_GB2312" w:cs="仿宋_GB2312" w:eastAsia="仿宋_GB2312"/>
                      <w:sz w:val="20"/>
                    </w:rPr>
                    <w:t>51</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TB闪盘</w:t>
                  </w:r>
                  <w:r>
                    <w:rPr>
                      <w:rFonts w:ascii="仿宋_GB2312" w:hAnsi="仿宋_GB2312" w:cs="仿宋_GB2312" w:eastAsia="仿宋_GB2312"/>
                      <w:sz w:val="20"/>
                    </w:rPr>
                    <w:t xml:space="preserve"> </w:t>
                  </w:r>
                  <w:r>
                    <w:rPr>
                      <w:rFonts w:ascii="仿宋_GB2312" w:hAnsi="仿宋_GB2312" w:cs="仿宋_GB2312" w:eastAsia="仿宋_GB2312"/>
                      <w:sz w:val="20"/>
                    </w:rPr>
                    <w:t>(8*6.4TB)</w:t>
                  </w:r>
                </w:p>
                <w:p>
                  <w:pPr>
                    <w:pStyle w:val="null3"/>
                  </w:pPr>
                  <w:r>
                    <w:rPr>
                      <w:rFonts w:ascii="仿宋_GB2312" w:hAnsi="仿宋_GB2312" w:cs="仿宋_GB2312" w:eastAsia="仿宋_GB2312"/>
                      <w:sz w:val="20"/>
                    </w:rPr>
                    <w:t>合计</w:t>
                  </w:r>
                  <w:r>
                    <w:rPr>
                      <w:rFonts w:ascii="仿宋_GB2312" w:hAnsi="仿宋_GB2312" w:cs="仿宋_GB2312" w:eastAsia="仿宋_GB2312"/>
                      <w:sz w:val="20"/>
                    </w:rPr>
                    <w:t>12个40Gbps Infiniband接口</w:t>
                  </w:r>
                </w:p>
                <w:p>
                  <w:pPr>
                    <w:pStyle w:val="null3"/>
                  </w:pPr>
                  <w:r>
                    <w:rPr>
                      <w:rFonts w:ascii="仿宋_GB2312" w:hAnsi="仿宋_GB2312" w:cs="仿宋_GB2312" w:eastAsia="仿宋_GB2312"/>
                      <w:sz w:val="20"/>
                      <w:b/>
                    </w:rPr>
                    <w:t>2个交换节点：</w:t>
                  </w:r>
                </w:p>
                <w:p>
                  <w:pPr>
                    <w:pStyle w:val="null3"/>
                  </w:pPr>
                  <w:r>
                    <w:rPr>
                      <w:rFonts w:ascii="仿宋_GB2312" w:hAnsi="仿宋_GB2312" w:cs="仿宋_GB2312" w:eastAsia="仿宋_GB2312"/>
                      <w:sz w:val="20"/>
                    </w:rPr>
                    <w:t>每台配置</w:t>
                  </w:r>
                  <w:r>
                    <w:rPr>
                      <w:rFonts w:ascii="仿宋_GB2312" w:hAnsi="仿宋_GB2312" w:cs="仿宋_GB2312" w:eastAsia="仿宋_GB2312"/>
                      <w:sz w:val="20"/>
                    </w:rPr>
                    <w:t>36个40Gbps端口</w:t>
                  </w:r>
                </w:p>
                <w:p>
                  <w:pPr>
                    <w:pStyle w:val="null3"/>
                  </w:pPr>
                  <w:r>
                    <w:rPr>
                      <w:rFonts w:ascii="仿宋_GB2312" w:hAnsi="仿宋_GB2312" w:cs="仿宋_GB2312" w:eastAsia="仿宋_GB2312"/>
                      <w:sz w:val="20"/>
                      <w:b/>
                    </w:rPr>
                    <w:t>1个42U机柜</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且具备现场实施的条件下，3个月内完成项目所有实施内容，向采购方提交项目书面所有交付成果且经甲方确定后，进入1个月试运行期。试运行期满并通过采购方验收之日起正式进入服务期，服务期为12个月，实现服务期内新增的数据库版本同步升级。</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自合同签订并生效之日起，在供应商提供项目检测报告、方案设计报告后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在完成项目实施、一个月试运行期满、向采购方提交项目书面所有交付成果且经采购方验收合格后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剩余5%作为运维服务费，运维服务期（试运行期结束后一年）满后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满足《中华人民共和国政府采购法》第二十二条规定</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⑨《关于扩大政府采购支持绿色建材促进建筑品质提升政策实施范围的通知》（财库〔2022〕35号）⑩本项目非专门面向中小企业采购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商务应答表 供应商认为有必要说明的问题.docx 响应函 供应商资格条件证明文件.docx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供应商针对项目特点结合采购人需求制定项目总体实施方案，包括但不限于：①项目背景理解；②项目需求分析；③技术方案（包括但不限于升级路径设计、数据迁移方案、回退机制方案）；④系统整体架构设计。二、评审标准：1、完整性：方案须全面，对评审内容中的各项要求描述详细；2、可实施性：切合本项目实际情况，实施步骤清晰、合理；3、针对性：方案能够紧扣项目实际情况，内容科学合理。 三、赋分依据（满分18分）：①项目背景理解：每完全满足一个评审标准得1分，满分3分；未提供不得分；②项目需求分析:每完全满足一个评审标准得1分，满分3分；未提供不得分；③技术方案（包括但不限于升级路径设计、数据迁移方案、回退机制方案）:每完全满足一个评审标准得2分，满分6分；未提供不得分；④系统整体架构设计：每完全满足一个评审标准得2分，满分6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详细评审---总体实施方案.docx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一、供应商根据磋商文件中的相关服务工作内容，制定详细的服务方案，方案内容包括但不限于：①数据库架构设计；②技术路线方案；③查询优化策略。 二、评审标准：1、完整性：方案须全面，对评审内容中的各项要求描述详细；2、可实施性：切合本项目实际情况，实施步骤清晰、合理；3、针对性：方案能够紧扣项目实际情况，内容科学合理。 三、赋分依据（满分18分）：①数据库架构设计：每完全满足一个评审标准得2分，满分6分；未提供不得分；②技术路线方案:每完全满足一个评审标准得2分，满分6分；未提供不得分；③查询优化策略:每完全满足一个评审标准得2分，满分6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详细评审---技术方案.docx</w:t>
            </w:r>
          </w:p>
        </w:tc>
      </w:tr>
      <w:tr>
        <w:tc>
          <w:tcPr>
            <w:tcW w:type="dxa" w:w="831"/>
            <w:vMerge/>
          </w:tcPr>
          <w:p/>
        </w:tc>
        <w:tc>
          <w:tcPr>
            <w:tcW w:type="dxa" w:w="1661"/>
          </w:tcPr>
          <w:p>
            <w:pPr>
              <w:pStyle w:val="null3"/>
            </w:pPr>
            <w:r>
              <w:rPr>
                <w:rFonts w:ascii="仿宋_GB2312" w:hAnsi="仿宋_GB2312" w:cs="仿宋_GB2312" w:eastAsia="仿宋_GB2312"/>
              </w:rPr>
              <w:t>项目实施与保障方案</w:t>
            </w:r>
          </w:p>
        </w:tc>
        <w:tc>
          <w:tcPr>
            <w:tcW w:type="dxa" w:w="2492"/>
          </w:tcPr>
          <w:p>
            <w:pPr>
              <w:pStyle w:val="null3"/>
            </w:pPr>
            <w:r>
              <w:rPr>
                <w:rFonts w:ascii="仿宋_GB2312" w:hAnsi="仿宋_GB2312" w:cs="仿宋_GB2312" w:eastAsia="仿宋_GB2312"/>
              </w:rPr>
              <w:t>一、供应商根据核心数据库及相关配套模块软件大版本升级、核心数据库一体机配置系统和存储管理软件系统大版本升级、核心数据库系统全面调整优化等要求，制定具有针对性的实施与保障方案，包括但不限于：①项目实施计划；②应急方案；③售后服务方案（须包含解决问题能力、紧急故障处理预案、故障维修响应时间等）。 二、评审标准：1、完整性：方案须全面，对评审内容中的各项要求描述详细；2、可实施性：切合本项目实际情况，实施步骤清晰、合理；3、针对性：方案能够紧扣项目实际情况，内容科学合理。 三、赋分依据（满分12分）：①项目实施计划：每完全满足一个评审标准得1分，满分3分；未提供不得分；②应急方案:每完全满足一个评审标准得1分，满分3分；未提供不得分；③售后服务方案（须包含解决问题能力、紧急故障处理预案、故障维修响应时间等）:每完全满足一个评审标准得2分，满分6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详细评审--项目实施与保障方案.docx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一、供应商针对项目特点结合采购人需求制定项目保密方案，包括但不限于：①保密制度；②保密措施；③保密承诺及保密协议。 二、评审标准：1、完整性：方案须全面，对评审内容中的各项要求描述详细；2、可实施性：切合本项目实际情况，实施步骤清晰、合理；3、针对性：方案能够紧扣项目实际情况，内容科学合理。 三、赋分依据（满分9分）①保密制度：每完全满足一个评审标准得1分，满分3分；未提供不得分；②保密措施:每完全满足一个评审标准得1分，满分3分；未提供不得分；③保密承诺及保密协议: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详细评审---保密方案.docx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1、拟派本项目的现场服务工程师不少于2人，每有一个人具备OracleOCM认证证书，计2分，满分4分。 2、对本项目拟投入的团队人员（包括但不限于）：①团队人员分工、职责；②团队人员数量、名单及经验能力证明材料。满分5分。每有一项缺项扣2.5分，每有一项内容中有缺陷，指项目需求不匹配或不能满足项目实施要求及其他不利于项目实施或套用其他项目内容的扣1.5分。 注：须提供供应商为以上人员缴纳的2024年1月至今任意一个月社保证明材料或劳动合同的复印件并加盖公章，材料提供不全不得分。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详细评审---项目团队.docx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提供供应商的ISO20000信息技术服务管理体系认证及ISO27001信息安全管理体系认证。 每提供1个得2分，满分4分。 注：提供有效期内的认证证书复印件加盖公章，不提供证明文件不得分。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详细评审---企业实力.docx</w:t>
            </w:r>
          </w:p>
        </w:tc>
      </w:tr>
      <w:tr>
        <w:tc>
          <w:tcPr>
            <w:tcW w:type="dxa" w:w="831"/>
            <w:vMerge/>
          </w:tcPr>
          <w:p/>
        </w:tc>
        <w:tc>
          <w:tcPr>
            <w:tcW w:type="dxa" w:w="1661"/>
          </w:tcPr>
          <w:p>
            <w:pPr>
              <w:pStyle w:val="null3"/>
            </w:pPr>
            <w:r>
              <w:rPr>
                <w:rFonts w:ascii="仿宋_GB2312" w:hAnsi="仿宋_GB2312" w:cs="仿宋_GB2312" w:eastAsia="仿宋_GB2312"/>
              </w:rPr>
              <w:t>测试备用机技术参数</w:t>
            </w:r>
          </w:p>
        </w:tc>
        <w:tc>
          <w:tcPr>
            <w:tcW w:type="dxa" w:w="2492"/>
          </w:tcPr>
          <w:p>
            <w:pPr>
              <w:pStyle w:val="null3"/>
            </w:pPr>
            <w:r>
              <w:rPr>
                <w:rFonts w:ascii="仿宋_GB2312" w:hAnsi="仿宋_GB2312" w:cs="仿宋_GB2312" w:eastAsia="仿宋_GB2312"/>
              </w:rPr>
              <w:t>测试备用机的技术参数完全符合、响应磋商文件要求，没有负偏离计6分。每负偏离一项扣2分，扣完为止。 注：提供测试备用机技术参数相应的证明材料（不限于产品彩页、测试报告、官网和功能截图等技术支持性文件资料），经评审专家审定得分。 同时须提供测试备用机购置发票或租赁合同的复印件并加盖公章，未提供或提供不完整不计分。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详细评审---测试备用机技术参数.docx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提供供应商2022年1月1日至今(以合同签订日期为准)类似项目业绩，每份计1分，满分4分。 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价格分统一采用低价优先法计算，即满足磋商文件要求且磋商价格最低的为磋商基准价，其价格分为满分。其他供应商的价格分统一按照下列公式计算： 报价得分=(磋商基准价／磋商报价)×20 计算分数时四舍五入取小数点后两位 注：评审委员会认为供应商的报价明显低于其他通过符合性审查供应商的报价，有可能影响产品质量或者不能诚信履约的，应当要求其在评审现场合理的时间内提供书面说明，必要时提交相关证明材料；供应商不能证明其报价合理性的，评审委员会应当将其作为无效磋商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详见附件：详细评审---保密方案.docx</w:t>
      </w:r>
    </w:p>
    <w:p>
      <w:pPr>
        <w:pStyle w:val="null3"/>
        <w:ind w:firstLine="960"/>
      </w:pPr>
      <w:r>
        <w:rPr>
          <w:rFonts w:ascii="仿宋_GB2312" w:hAnsi="仿宋_GB2312" w:cs="仿宋_GB2312" w:eastAsia="仿宋_GB2312"/>
        </w:rPr>
        <w:t>详见附件：详细评审---技术方案.docx</w:t>
      </w:r>
    </w:p>
    <w:p>
      <w:pPr>
        <w:pStyle w:val="null3"/>
        <w:ind w:firstLine="960"/>
      </w:pPr>
      <w:r>
        <w:rPr>
          <w:rFonts w:ascii="仿宋_GB2312" w:hAnsi="仿宋_GB2312" w:cs="仿宋_GB2312" w:eastAsia="仿宋_GB2312"/>
        </w:rPr>
        <w:t>详见附件：详细评审---测试备用机技术参数.docx</w:t>
      </w:r>
    </w:p>
    <w:p>
      <w:pPr>
        <w:pStyle w:val="null3"/>
        <w:ind w:firstLine="960"/>
      </w:pPr>
      <w:r>
        <w:rPr>
          <w:rFonts w:ascii="仿宋_GB2312" w:hAnsi="仿宋_GB2312" w:cs="仿宋_GB2312" w:eastAsia="仿宋_GB2312"/>
        </w:rPr>
        <w:t>详见附件：详细评审---企业实力.docx</w:t>
      </w:r>
    </w:p>
    <w:p>
      <w:pPr>
        <w:pStyle w:val="null3"/>
        <w:ind w:firstLine="960"/>
      </w:pPr>
      <w:r>
        <w:rPr>
          <w:rFonts w:ascii="仿宋_GB2312" w:hAnsi="仿宋_GB2312" w:cs="仿宋_GB2312" w:eastAsia="仿宋_GB2312"/>
        </w:rPr>
        <w:t>详见附件：详细评审--项目实施与保障方案.docx</w:t>
      </w:r>
    </w:p>
    <w:p>
      <w:pPr>
        <w:pStyle w:val="null3"/>
        <w:ind w:firstLine="960"/>
      </w:pPr>
      <w:r>
        <w:rPr>
          <w:rFonts w:ascii="仿宋_GB2312" w:hAnsi="仿宋_GB2312" w:cs="仿宋_GB2312" w:eastAsia="仿宋_GB2312"/>
        </w:rPr>
        <w:t>详见附件：详细评审---项目团队.docx</w:t>
      </w:r>
    </w:p>
    <w:p>
      <w:pPr>
        <w:pStyle w:val="null3"/>
        <w:ind w:firstLine="960"/>
      </w:pPr>
      <w:r>
        <w:rPr>
          <w:rFonts w:ascii="仿宋_GB2312" w:hAnsi="仿宋_GB2312" w:cs="仿宋_GB2312" w:eastAsia="仿宋_GB2312"/>
        </w:rPr>
        <w:t>详见附件：详细评审---总体实施方案.docx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