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版本号：SXLX25-02-036Z(F)20250513001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软件运维服务采购项目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SXLX25-02-036Z(F)</w:t>
      </w:r>
      <w:r>
        <w:br/>
      </w:r>
      <w:r>
        <w:br/>
      </w:r>
      <w:r>
        <w:br/>
      </w:r>
    </w:p>
    <w:p>
      <w:pPr>
        <w:pStyle w:val="null3"/>
        <w:jc w:val="center"/>
        <w:outlineLvl w:val="2"/>
      </w:pPr>
      <w:r>
        <w:rPr>
          <w:rFonts w:ascii="仿宋_GB2312" w:hAnsi="仿宋_GB2312" w:cs="仿宋_GB2312" w:eastAsia="仿宋_GB2312"/>
          <w:sz w:val="28"/>
          <w:b/>
        </w:rPr>
        <w:t>陕西省戒毒管理局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陕西省戒毒管理局</w:t>
      </w:r>
      <w:r>
        <w:rPr>
          <w:rFonts w:ascii="仿宋_GB2312" w:hAnsi="仿宋_GB2312" w:cs="仿宋_GB2312" w:eastAsia="仿宋_GB2312"/>
        </w:rPr>
        <w:t>委托，拟对</w:t>
      </w:r>
      <w:r>
        <w:rPr>
          <w:rFonts w:ascii="仿宋_GB2312" w:hAnsi="仿宋_GB2312" w:cs="仿宋_GB2312" w:eastAsia="仿宋_GB2312"/>
        </w:rPr>
        <w:t>软件运维服务采购项目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SXLX25-02-036Z(F)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软件运维服务采购项目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本项目为软件运维服务采购项目，主要内容为对陕西省司法行政戒毒系统在用的平台及系统提供日常运行维护服务。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陕西省戒毒管理局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陕西省西安市莲湖区习武园15号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029-87371214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王小琼、任甜、马彩霞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代理服务费具体收费金额将在成交公告中公布。 请将采购代理服务费汇至下列指定账户： 开户名称：陕西隆信项目管理有限公司 开 户 行：招商银行股份有限公司西安土门支行 账 号：129904064810902 财务部电话：029-88489979-8501 注：代理服务费包含在报价中，不需单独列项。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陕西省戒毒管理局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陕西省戒毒管理局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陕西省戒毒管理局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（1）按照磋商文件及采购人要求执行；在实施过程中，如果国家或有关部门颁布了新的技术标准或规范，则供应商应采用新的标准或规范进行实施。 （2）系统可用性：全年平台无重大故障（单次宕机≤1小时）。 （3）数据完整性：备份恢复成功率100%，数据对接错误率≤0.1%。 （4）用户满意度：干警职工满意度调查≥90分。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联系人：王小琼、任甜、马彩霞</w:t>
      </w:r>
    </w:p>
    <w:p>
      <w:pPr>
        <w:pStyle w:val="null3"/>
      </w:pPr>
      <w:r>
        <w:rPr>
          <w:rFonts w:ascii="仿宋_GB2312" w:hAnsi="仿宋_GB2312" w:cs="仿宋_GB2312" w:eastAsia="仿宋_GB2312"/>
        </w:rPr>
        <w:t>联系电话：029-88489979-8202</w:t>
      </w:r>
    </w:p>
    <w:p>
      <w:pPr>
        <w:pStyle w:val="null3"/>
      </w:pPr>
      <w:r>
        <w:rPr>
          <w:rFonts w:ascii="仿宋_GB2312" w:hAnsi="仿宋_GB2312" w:cs="仿宋_GB2312" w:eastAsia="仿宋_GB2312"/>
        </w:rPr>
        <w:t>地址：陕西省西安市雁塔区雁翔路111号赛格·中京坊6幢1单元2层10201室招标二部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本项目为软件运维服务采购项目，主要内容为对陕西省司法行政戒毒系统在用的平台及系统提供日常运行维护服务。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对陕西省司法行政戒毒系统在用的统一门户平台、协同办公平台、执法管理平台、内空财务平台、档案平台和戒毒医疗平台提供运维服务。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标的名称：对陕西省司法行政戒毒系统在用的统一门户平台、协同办公平台、执法管理平台、内空财务平台、档案平台和戒毒医疗平台提供运维服务。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b/>
                <w:color w:val="0000FF"/>
              </w:rPr>
              <w:t>一、项目概况：</w:t>
            </w:r>
          </w:p>
          <w:p>
            <w:pPr>
              <w:pStyle w:val="null3"/>
              <w:ind w:firstLine="400"/>
              <w:jc w:val="both"/>
            </w:pPr>
            <w:r>
              <w:rPr>
                <w:rFonts w:ascii="仿宋_GB2312" w:hAnsi="仿宋_GB2312" w:cs="仿宋_GB2312" w:eastAsia="仿宋_GB2312"/>
                <w:sz w:val="21"/>
                <w:color w:val="0000FF"/>
              </w:rPr>
              <w:t>本项目为软件运维服务采购项目，</w:t>
            </w:r>
            <w:r>
              <w:rPr>
                <w:rFonts w:ascii="仿宋_GB2312" w:hAnsi="仿宋_GB2312" w:cs="仿宋_GB2312" w:eastAsia="仿宋_GB2312"/>
                <w:sz w:val="21"/>
                <w:color w:val="0000FF"/>
              </w:rPr>
              <w:t>主要内容为</w:t>
            </w:r>
            <w:r>
              <w:rPr>
                <w:rFonts w:ascii="仿宋_GB2312" w:hAnsi="仿宋_GB2312" w:cs="仿宋_GB2312" w:eastAsia="仿宋_GB2312"/>
                <w:sz w:val="21"/>
                <w:color w:val="0000FF"/>
              </w:rPr>
              <w:t>对陕西省司法行政戒毒系统在用的平台</w:t>
            </w:r>
            <w:r>
              <w:rPr>
                <w:rFonts w:ascii="仿宋_GB2312" w:hAnsi="仿宋_GB2312" w:cs="仿宋_GB2312" w:eastAsia="仿宋_GB2312"/>
                <w:sz w:val="21"/>
                <w:color w:val="0000FF"/>
              </w:rPr>
              <w:t>及系统提供日常运行维护服务</w:t>
            </w:r>
            <w:r>
              <w:rPr>
                <w:rFonts w:ascii="仿宋_GB2312" w:hAnsi="仿宋_GB2312" w:cs="仿宋_GB2312" w:eastAsia="仿宋_GB2312"/>
                <w:sz w:val="21"/>
                <w:color w:val="0000FF"/>
              </w:rPr>
              <w:t>。</w:t>
            </w:r>
          </w:p>
          <w:p>
            <w:pPr>
              <w:pStyle w:val="null3"/>
              <w:ind w:firstLine="422"/>
              <w:jc w:val="left"/>
            </w:pPr>
            <w:r>
              <w:rPr>
                <w:rFonts w:ascii="仿宋_GB2312" w:hAnsi="仿宋_GB2312" w:cs="仿宋_GB2312" w:eastAsia="仿宋_GB2312"/>
                <w:sz w:val="21"/>
                <w:b/>
                <w:color w:val="0000FF"/>
              </w:rPr>
              <w:t>本项目所属行业</w:t>
            </w:r>
            <w:r>
              <w:rPr>
                <w:rFonts w:ascii="仿宋_GB2312" w:hAnsi="仿宋_GB2312" w:cs="仿宋_GB2312" w:eastAsia="仿宋_GB2312"/>
                <w:sz w:val="21"/>
                <w:b/>
                <w:color w:val="0000FF"/>
              </w:rPr>
              <w:t>为软件和信息技术服务业。</w:t>
            </w:r>
            <w:r>
              <w:rPr>
                <w:rFonts w:ascii="仿宋_GB2312" w:hAnsi="仿宋_GB2312" w:cs="仿宋_GB2312" w:eastAsia="仿宋_GB2312"/>
                <w:sz w:val="21"/>
                <w:color w:val="0000FF"/>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ind w:firstLine="420"/>
              <w:jc w:val="left"/>
            </w:pPr>
            <w:r>
              <w:rPr>
                <w:rFonts w:ascii="仿宋_GB2312" w:hAnsi="仿宋_GB2312" w:cs="仿宋_GB2312" w:eastAsia="仿宋_GB2312"/>
                <w:sz w:val="21"/>
                <w:b/>
                <w:color w:val="0000FF"/>
              </w:rPr>
              <w:t>二、服务内容</w:t>
            </w:r>
          </w:p>
          <w:p>
            <w:pPr>
              <w:pStyle w:val="null3"/>
              <w:ind w:firstLine="420"/>
              <w:jc w:val="left"/>
            </w:pPr>
            <w:r>
              <w:rPr>
                <w:rFonts w:ascii="仿宋_GB2312" w:hAnsi="仿宋_GB2312" w:cs="仿宋_GB2312" w:eastAsia="仿宋_GB2312"/>
                <w:sz w:val="21"/>
                <w:color w:val="0000FF"/>
              </w:rPr>
              <w:t>软</w:t>
            </w:r>
            <w:r>
              <w:rPr>
                <w:rFonts w:ascii="仿宋_GB2312" w:hAnsi="仿宋_GB2312" w:cs="仿宋_GB2312" w:eastAsia="仿宋_GB2312"/>
                <w:sz w:val="21"/>
                <w:color w:val="0000FF"/>
              </w:rPr>
              <w:t>件运维服务主要包括对陕西省司法行政戒毒系统在用的统一门户平台、协同办公平台、执法管理平台、内控平台、档案平台和医疗平台提供新增需求实现、结构化及非结构化数据整理、业务应用和数据库备份、安全漏洞修复、业务系统间的数据对接等服务</w:t>
            </w:r>
            <w:r>
              <w:rPr>
                <w:rFonts w:ascii="仿宋_GB2312" w:hAnsi="仿宋_GB2312" w:cs="仿宋_GB2312" w:eastAsia="仿宋_GB2312"/>
                <w:sz w:val="21"/>
                <w:color w:val="0000FF"/>
              </w:rPr>
              <w:t>，</w:t>
            </w:r>
            <w:r>
              <w:rPr>
                <w:rFonts w:ascii="仿宋_GB2312" w:hAnsi="仿宋_GB2312" w:cs="仿宋_GB2312" w:eastAsia="仿宋_GB2312"/>
                <w:sz w:val="21"/>
                <w:color w:val="0000FF"/>
              </w:rPr>
              <w:t>同时做好平台的运维和技术支持，保障各系统稳定运行。</w:t>
            </w:r>
          </w:p>
          <w:p>
            <w:pPr>
              <w:pStyle w:val="null3"/>
              <w:jc w:val="both"/>
            </w:pPr>
            <w:r>
              <w:rPr>
                <w:rFonts w:ascii="仿宋_GB2312" w:hAnsi="仿宋_GB2312" w:cs="仿宋_GB2312" w:eastAsia="仿宋_GB2312"/>
                <w:sz w:val="21"/>
                <w:b/>
                <w:color w:val="0000FF"/>
              </w:rPr>
              <w:t>三</w:t>
            </w:r>
            <w:r>
              <w:rPr>
                <w:rFonts w:ascii="仿宋_GB2312" w:hAnsi="仿宋_GB2312" w:cs="仿宋_GB2312" w:eastAsia="仿宋_GB2312"/>
                <w:sz w:val="21"/>
                <w:b/>
                <w:color w:val="0000FF"/>
              </w:rPr>
              <w:t>、服务要求</w:t>
            </w:r>
          </w:p>
          <w:p>
            <w:pPr>
              <w:pStyle w:val="null3"/>
              <w:ind w:firstLine="420"/>
              <w:jc w:val="left"/>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软件运维服务</w:t>
            </w:r>
          </w:p>
          <w:p>
            <w:pPr>
              <w:pStyle w:val="null3"/>
              <w:ind w:firstLine="420"/>
              <w:jc w:val="left"/>
            </w:pPr>
            <w:r>
              <w:rPr>
                <w:rFonts w:ascii="仿宋_GB2312" w:hAnsi="仿宋_GB2312" w:cs="仿宋_GB2312" w:eastAsia="仿宋_GB2312"/>
                <w:sz w:val="21"/>
                <w:color w:val="0000FF"/>
              </w:rPr>
              <w:t>①</w:t>
            </w:r>
            <w:r>
              <w:rPr>
                <w:rFonts w:ascii="仿宋_GB2312" w:hAnsi="仿宋_GB2312" w:cs="仿宋_GB2312" w:eastAsia="仿宋_GB2312"/>
                <w:sz w:val="21"/>
                <w:color w:val="0000FF"/>
              </w:rPr>
              <w:t>统一门户平台要求</w:t>
            </w:r>
          </w:p>
          <w:p>
            <w:pPr>
              <w:pStyle w:val="null3"/>
              <w:ind w:firstLine="420"/>
              <w:jc w:val="left"/>
            </w:pPr>
            <w:r>
              <w:rPr>
                <w:rFonts w:ascii="仿宋_GB2312" w:hAnsi="仿宋_GB2312" w:cs="仿宋_GB2312" w:eastAsia="仿宋_GB2312"/>
                <w:sz w:val="21"/>
                <w:color w:val="0000FF"/>
              </w:rPr>
              <w:t>根据业务需求优化门户平台的用户界面布局，适配多终端（</w:t>
            </w:r>
            <w:r>
              <w:rPr>
                <w:rFonts w:ascii="仿宋_GB2312" w:hAnsi="仿宋_GB2312" w:cs="仿宋_GB2312" w:eastAsia="仿宋_GB2312"/>
                <w:sz w:val="21"/>
                <w:color w:val="0000FF"/>
              </w:rPr>
              <w:t>PC端/移动端）访问，保障系统稳定运行</w:t>
            </w:r>
            <w:r>
              <w:rPr>
                <w:rFonts w:ascii="仿宋_GB2312" w:hAnsi="仿宋_GB2312" w:cs="仿宋_GB2312" w:eastAsia="仿宋_GB2312"/>
                <w:sz w:val="21"/>
                <w:color w:val="0000FF"/>
              </w:rPr>
              <w:t>，</w:t>
            </w:r>
            <w:r>
              <w:rPr>
                <w:rFonts w:ascii="仿宋_GB2312" w:hAnsi="仿宋_GB2312" w:cs="仿宋_GB2312" w:eastAsia="仿宋_GB2312"/>
                <w:sz w:val="21"/>
                <w:color w:val="0000FF"/>
              </w:rPr>
              <w:t>结构化数据及非结构化数据整理，业务应用和数据库备份，安全漏洞修复定期清理冗余缓存数据，优化数据库查询效率，与其它业务系统间的数据对接等服务。</w:t>
            </w:r>
          </w:p>
          <w:p>
            <w:pPr>
              <w:pStyle w:val="null3"/>
              <w:ind w:firstLine="420"/>
              <w:jc w:val="left"/>
            </w:pPr>
            <w:r>
              <w:rPr>
                <w:rFonts w:ascii="仿宋_GB2312" w:hAnsi="仿宋_GB2312" w:cs="仿宋_GB2312" w:eastAsia="仿宋_GB2312"/>
                <w:sz w:val="21"/>
                <w:color w:val="0000FF"/>
              </w:rPr>
              <w:t>②</w:t>
            </w:r>
            <w:r>
              <w:rPr>
                <w:rFonts w:ascii="仿宋_GB2312" w:hAnsi="仿宋_GB2312" w:cs="仿宋_GB2312" w:eastAsia="仿宋_GB2312"/>
                <w:sz w:val="21"/>
                <w:color w:val="0000FF"/>
              </w:rPr>
              <w:t>协同办公平台要求</w:t>
            </w:r>
          </w:p>
          <w:p>
            <w:pPr>
              <w:pStyle w:val="null3"/>
              <w:ind w:firstLine="420"/>
              <w:jc w:val="left"/>
            </w:pPr>
            <w:r>
              <w:rPr>
                <w:rFonts w:ascii="仿宋_GB2312" w:hAnsi="仿宋_GB2312" w:cs="仿宋_GB2312" w:eastAsia="仿宋_GB2312"/>
                <w:sz w:val="21"/>
                <w:color w:val="0000FF"/>
              </w:rPr>
              <w:t>按照需求优化电子公文流转、日常业务审批等功能模块、优化移动端审批流程和用户预览界面，保障系统稳定运行</w:t>
            </w:r>
            <w:r>
              <w:rPr>
                <w:rFonts w:ascii="仿宋_GB2312" w:hAnsi="仿宋_GB2312" w:cs="仿宋_GB2312" w:eastAsia="仿宋_GB2312"/>
                <w:sz w:val="21"/>
                <w:color w:val="0000FF"/>
              </w:rPr>
              <w:t>，</w:t>
            </w:r>
            <w:r>
              <w:rPr>
                <w:rFonts w:ascii="仿宋_GB2312" w:hAnsi="仿宋_GB2312" w:cs="仿宋_GB2312" w:eastAsia="仿宋_GB2312"/>
                <w:sz w:val="21"/>
                <w:color w:val="0000FF"/>
              </w:rPr>
              <w:t>结构化数据及非结构化数据整理，业务应用和数据库备份，安全漏洞修复定期清理冗余缓存数据，优化数据库查询效率。</w:t>
            </w:r>
          </w:p>
          <w:p>
            <w:pPr>
              <w:pStyle w:val="null3"/>
              <w:ind w:firstLine="420"/>
              <w:jc w:val="left"/>
            </w:pPr>
            <w:r>
              <w:rPr>
                <w:rFonts w:ascii="仿宋_GB2312" w:hAnsi="仿宋_GB2312" w:cs="仿宋_GB2312" w:eastAsia="仿宋_GB2312"/>
                <w:sz w:val="21"/>
                <w:color w:val="0000FF"/>
              </w:rPr>
              <w:t>③</w:t>
            </w:r>
            <w:r>
              <w:rPr>
                <w:rFonts w:ascii="仿宋_GB2312" w:hAnsi="仿宋_GB2312" w:cs="仿宋_GB2312" w:eastAsia="仿宋_GB2312"/>
                <w:sz w:val="21"/>
                <w:color w:val="0000FF"/>
              </w:rPr>
              <w:t>执法管理平台要求</w:t>
            </w:r>
          </w:p>
          <w:p>
            <w:pPr>
              <w:pStyle w:val="null3"/>
              <w:ind w:firstLine="420"/>
              <w:jc w:val="left"/>
            </w:pPr>
            <w:r>
              <w:rPr>
                <w:rFonts w:ascii="仿宋_GB2312" w:hAnsi="仿宋_GB2312" w:cs="仿宋_GB2312" w:eastAsia="仿宋_GB2312"/>
                <w:sz w:val="21"/>
                <w:color w:val="0000FF"/>
              </w:rPr>
              <w:t>按照需求调整优化业务流程、审批表单，结构化数据及非结构化数据整理，保障系统稳定运行，安全漏洞修复定期清理冗余缓存数据，优化数据库查询效率。</w:t>
            </w:r>
          </w:p>
          <w:p>
            <w:pPr>
              <w:pStyle w:val="null3"/>
              <w:ind w:firstLine="420"/>
              <w:jc w:val="left"/>
            </w:pPr>
            <w:r>
              <w:rPr>
                <w:rFonts w:ascii="仿宋_GB2312" w:hAnsi="仿宋_GB2312" w:cs="仿宋_GB2312" w:eastAsia="仿宋_GB2312"/>
                <w:sz w:val="21"/>
                <w:color w:val="0000FF"/>
              </w:rPr>
              <w:t>④</w:t>
            </w:r>
            <w:r>
              <w:rPr>
                <w:rFonts w:ascii="仿宋_GB2312" w:hAnsi="仿宋_GB2312" w:cs="仿宋_GB2312" w:eastAsia="仿宋_GB2312"/>
                <w:sz w:val="21"/>
                <w:color w:val="0000FF"/>
              </w:rPr>
              <w:t>内控平台要求</w:t>
            </w:r>
          </w:p>
          <w:p>
            <w:pPr>
              <w:pStyle w:val="null3"/>
              <w:ind w:firstLine="420"/>
              <w:jc w:val="left"/>
            </w:pPr>
            <w:r>
              <w:rPr>
                <w:rFonts w:ascii="仿宋_GB2312" w:hAnsi="仿宋_GB2312" w:cs="仿宋_GB2312" w:eastAsia="仿宋_GB2312"/>
                <w:sz w:val="21"/>
                <w:color w:val="0000FF"/>
              </w:rPr>
              <w:t>维护采购、报销等功能审批流程，结构化数据及非结构化数据整理，业务应用和数据库备份，保障系统稳定运行，优化数据库查询效率。</w:t>
            </w:r>
          </w:p>
          <w:p>
            <w:pPr>
              <w:pStyle w:val="null3"/>
              <w:ind w:firstLine="420"/>
              <w:jc w:val="left"/>
            </w:pPr>
            <w:r>
              <w:rPr>
                <w:rFonts w:ascii="仿宋_GB2312" w:hAnsi="仿宋_GB2312" w:cs="仿宋_GB2312" w:eastAsia="仿宋_GB2312"/>
                <w:sz w:val="21"/>
                <w:color w:val="0000FF"/>
              </w:rPr>
              <w:t>⑤</w:t>
            </w:r>
            <w:r>
              <w:rPr>
                <w:rFonts w:ascii="仿宋_GB2312" w:hAnsi="仿宋_GB2312" w:cs="仿宋_GB2312" w:eastAsia="仿宋_GB2312"/>
                <w:sz w:val="21"/>
                <w:color w:val="0000FF"/>
              </w:rPr>
              <w:t>档案平台要求</w:t>
            </w:r>
          </w:p>
          <w:p>
            <w:pPr>
              <w:pStyle w:val="null3"/>
              <w:ind w:firstLine="420"/>
              <w:jc w:val="left"/>
            </w:pPr>
            <w:r>
              <w:rPr>
                <w:rFonts w:ascii="仿宋_GB2312" w:hAnsi="仿宋_GB2312" w:cs="仿宋_GB2312" w:eastAsia="仿宋_GB2312"/>
                <w:sz w:val="21"/>
                <w:color w:val="0000FF"/>
              </w:rPr>
              <w:t>保障系统稳定运行，结构化数据及非结构化数据整理，业务应用和数据库备份，安全漏洞修复定期清理冗余缓存数据，优化数据库查询效率。</w:t>
            </w:r>
          </w:p>
          <w:p>
            <w:pPr>
              <w:pStyle w:val="null3"/>
              <w:ind w:firstLine="420"/>
              <w:jc w:val="left"/>
            </w:pPr>
            <w:r>
              <w:rPr>
                <w:rFonts w:ascii="仿宋_GB2312" w:hAnsi="仿宋_GB2312" w:cs="仿宋_GB2312" w:eastAsia="仿宋_GB2312"/>
                <w:sz w:val="21"/>
                <w:color w:val="0000FF"/>
              </w:rPr>
              <w:t>⑥</w:t>
            </w:r>
            <w:r>
              <w:rPr>
                <w:rFonts w:ascii="仿宋_GB2312" w:hAnsi="仿宋_GB2312" w:cs="仿宋_GB2312" w:eastAsia="仿宋_GB2312"/>
                <w:sz w:val="21"/>
                <w:color w:val="0000FF"/>
              </w:rPr>
              <w:t>医疗平台要求</w:t>
            </w:r>
          </w:p>
          <w:p>
            <w:pPr>
              <w:pStyle w:val="null3"/>
              <w:jc w:val="left"/>
            </w:pPr>
            <w:r>
              <w:rPr>
                <w:rFonts w:ascii="仿宋_GB2312" w:hAnsi="仿宋_GB2312" w:cs="仿宋_GB2312" w:eastAsia="仿宋_GB2312"/>
                <w:sz w:val="21"/>
                <w:color w:val="0000FF"/>
              </w:rPr>
              <w:t>保障系统稳定运行，结构化数据整理，业务应用和数据库备份安全漏洞修复定期清理冗余缓存数据，优化数据库查询效率。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1、软件运维服务：合同签订后一年内提供不少于120天的现场服务。 2、维保人员提供24小时服务电话，开展定期维护保养、测试，发生故障时随叫随到。如因工作需要，需增加人员。 3、维保团队人员架构配置合理，项目经验丰富，人员管理制度完善，维保人员需身体健康，无吸毒史和犯罪记录。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须具备国产化环境（如麒麟OS、达梦数据库等）适配经验，确保跨平台（Windows、Linux、安卓/鸿蒙）兼容性；精通ETL工具，可完成主流数据库的结构化数据清洗、转换及迁移；具备非结构化数据管理能力，熟悉分布式计算、存储方案。 2、根据采购内容匹配其他完成本项目的软件。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1、供应商在合同执行期间有义务及时为采购人提供合理化的建设建议，供应商维保工作人员须遵守采购人规章制度，听从采购人的指挥，严格按照操作规程作业，确保服务安全； 2、保密协议：服务商需签署保密协议，严禁泄露戒毒人员信息及执法数据； 3、针对运维内容提供合理的重难点分析。</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（1）按照磋商文件及采购人要求执行；在实施过程中，如果国家或有关部门颁布了新的技术标准或规范，则供应商应采用新的标准或规范进行实施。 （2）系统可用性：全年平台无重大故障（单次宕机≤1小时）。 （3）数据完整性：备份恢复成功率100%，数据对接错误率≤0.1%。 （4）用户满意度：干警职工满意度调查≥90分。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6幢1单元2层10201室招标二部。二、供应商的磋商报价是供应商响应磋商项目要求的全部工作内容的价格体现，包括供应商完成本项目所需的直接费、间接费、利润、税金及其他相关的一切费用。包括但不限于：包括人工费、设备费、安装调试费、运杂费（含保险）、维保费、技术培训费、检测费、管理费、验收费、采购代理服务费、利润和税金等全部费用。在提供服务的过程中的任何遗漏，均由成交供应商免费提供，采购人将不再支付任何费用。三、磋商有效期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2.在磋商有效期内，供应商撤销响应文件的，应承担磋商文件和法律规定的责任。3.成交供应商的磋商有效期自动延长至合同终止为止。四、合格供应商少于3家的处理1.评审过程中，若出现合格供应商只有2家时，符合《政府采购竞争性磋商采购方式管理暂行办法》第三条第4项情形的，或者本项目为政府购买服务指导性目录中的，可以继续进行；只有1家时，采购人应依法重新组织采购活动。2.评审过程中，除符合第1条规定情形外，若出现合格供应商少于3家时，采购人应依法重新组织采购活动。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六、恶意质疑、投诉的法律后果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七、签名是指手写签名或者加盖名章(含电子签名或电子印章)，盖章是指加盖单位印章。八、关于采购文件一次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(2)法定代表人（单位负责人）参加磋商的，提供本人身份证复印件；法定代表人（单位负责人）授权他人参加磋商的，提供法定代表人（单位负责人）委托授权书及被授权代表人的身份证复印件；（3）税收缴纳证明；（4）社会保障资金缴纳证明；（5）具备履行合同所必需的设备和专业技术能力的证明；（6）参加本次磋商前3年内，在经营活动中没有重大违法记录的书面声明。（7）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以评审现场查询结果为准。 注：资格审查小组，由1名采购人代表和2名采购代理机构工作人员组成，采购代理机构项目经理担任资格审查小组组长。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或相关部门认可的专业担保机构出具的担保函。（以上形式的资料提供任何一种即可）要求：（1）供应商是企业法人的，应提供2023或2024全年度经审计的供应商财务报告，包括“四表一注”即《资产负债表》《利润表》《现金流量表》《所有者权益变动表》及其附注，或者提交响应文件截止时间前3个月内其基本账户开户银行出具的资信证明（附基本存款账户信息）或相关部门认可的专业担保机构出具的担保函。（以上形式的资料提供任何一种即可）（2）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或相关部门认可的专业担保机构出具的担保函。（以上形式的资料提供任何一种即可）（3）供应商成立不到1年（至提交响应文件截止时间）的，提供成立后任意时段的资产负债表，或提交响应文件截止时间前3个月内其基本账户开户银行出具的资信证明（附基本存款账户信息）或相关部门认可的专业担保机构出具的担保函。（以上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响应文件上法定代表人（单位负责人）或其委托代理人的签名齐全并加盖单位公章。</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针对本项目服务内容及要求提供具体可行的服务方案，包括但不限于①统一门户平台要求；②协同办公平台要求；③执法管理平台要求；④内控平台要求；⑤档案平台要求；⑥医疗平台要求。 二、评审标准 1、完善性：方案全面完整，深刻理解服务内容的建设背景和项目需求，对评审内容中的各项要求有详细阐述； 2、可实施性：切合本项目实际情况，根据各业务之间的关联，提出步骤清晰、合理的方案； 3、针对性：方案能够紧扣项目实际情况，内容科学合理。 三、赋分依据（满分18分） ①统一门户平台要求：每完全满足一个评审标准得1分，满分3分； ②协同办公平台要求：每完全满足一个评审标准得1分，满分3分； ③执法管理平台要求：每完全满足一个评审标准得1分，满分3分； ④内控平台要求：每完全满足一个评审标准得1分，满分3分； ⑤档案平台要求：每完全满足一个评审标准得1分，满分3分； ⑥医疗平台要求：每完全满足一个评审标准得1分，满分3分；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服务质量控制措施及承诺</w:t>
            </w:r>
          </w:p>
        </w:tc>
        <w:tc>
          <w:tcPr>
            <w:tcW w:type="dxa" w:w="2492"/>
          </w:tcPr>
          <w:p>
            <w:pPr>
              <w:pStyle w:val="null3"/>
            </w:pPr>
            <w:r>
              <w:rPr>
                <w:rFonts w:ascii="仿宋_GB2312" w:hAnsi="仿宋_GB2312" w:cs="仿宋_GB2312" w:eastAsia="仿宋_GB2312"/>
              </w:rPr>
              <w:t>一、评审内容 针对本项目服务内容及要求提供具体可行的服务质量控制措施及承诺，包括但不限于①有利于本项目实施的服务承诺；②保密承诺;③质量保证措施。 二、评审标准 1、完善性：方案必须全面，对评审内容中的各项要求有详细阐述； 2、可实施性：切合本项目实际情况，提出步骤清晰、合理的方案； 3、针对性：方案能够紧扣项目实际情况，内容科学合理。 三、赋分依据（满分9分） ①有利于本项目实施的服务承诺：：每完全满足一个评审标准得1分，满分3分； ②保密承诺：：每完全满足一个评审标准得1分，满分3分； ③质量保证措施：：每完全满足一个评审标准得1分，满分3分；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一、项目团队 1、评审内容 针对本项目服务内容及要求提供具体可行的团队配置方案，包括但不限于①团队人员架构，岗位人员配置合理；②有丰富的项目经验；③团队人员专业技术能力。 二、评审标准 1、完善性：方案必须全面，对评审内容中的各项要求有详细阐述； 2、可实施性：切合本项目实际情况，提出步骤清晰、合理的方案；3、针对性：方案能够紧扣项目实际情况，内容科学合理。 三、赋分依据（满分9分） 1、团队人员架构：每完全满足一个评审标准得1分，满分3分； 2、岗位人员配置合理，有丰富的项目经验：每完全满足一个评审标准得1分，满分3分； 3、团队人员管理制度：每完全满足一个评审标准得1分，满分3分。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1、项目负责人具备信息项目系统管理师职称的得2分，同时具备数据库系统工程师资格的加1分，同时具备注册信息安全专业人员CISP资质的加1分，最多得4分，不满足或不提供不得分； 2、拟派项目组成员（除项目负责人）具备通信类相关专业高级工程师或信息项目系统管理师职称，每提供1名得1分，最高得4分，不满足或不提供不得分； 3、拟派项目组成员（除项目负责人）具备注册信息安全专业人员（CISP)证书的，每提供1个得1分，最多得4分，不满足或不提供不得分； 4、拟派项目组成员（除项目负责人）具备系统架构设计师证书的，每提供1个得1分，最多得2分，不满足或不提供不得分； 5、具有数据、安全等相关软件著作权，每项得1分，最多得5分不满足或不提供不得分； 6.具有ITSS信息技术服务标准三级及以上认证得3分，其他不得分。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明确合理的业务优化、数据优化、流程优化建议。建议科学合理，对项目实施有实际指导意义的，得5分；建议基本科学合理，对项目实施有一定指导意义的，得3分；建议不够科学合理，对项目实施指导意义不明显的，得1分；未提供或不适用于本项目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针对本项目的重难点分析，方案包含但不限于： ①重点分析及控制措施；②难点分析及控制措施。 二、评审标准 1、完善性：方案必须全面，对评审内容中的各项要求有详细阐述； 2、可实施性：切合本项目实际情况，提出步骤清晰、合理的方案； 3、针对性：方案能够紧扣项目实际情况，内容科学合理。 三、赋分依据（满分12分） ①重点分析及控制措施：每完全满足一个评审标准得2分，满分6分。 ②难点分析及控制措施：每完全满足一个评审标准得2分，满分6分。 未提供或不适用于本项目得0分。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提供2022年1月1日至今同类型项目业绩（以合同签订日期为准），并提供合同复印件。提供一个有效业绩得2分，满分10分，未提供得0分。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 磋商评审价=磋商最后报价×（1-磋商报价扣除幅度 ），磋商报价得分=(磋商基准价／磋商评审价)×15 ； 供应商报价扣除幅度如下：供应商提供的服务全部为小微企业提供的，给予磋商报价扣除10% 优惠政策，只要有大中型企业提供服务情形的，就不得享受价格扣除优惠政策。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审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