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98C687">
      <w:pPr>
        <w:pStyle w:val="7"/>
        <w:keepNext w:val="0"/>
        <w:keepLines w:val="0"/>
        <w:pageBreakBefore w:val="0"/>
        <w:kinsoku/>
        <w:wordWrap/>
        <w:overflowPunct/>
        <w:topLinePunct w:val="0"/>
        <w:autoSpaceDE/>
        <w:autoSpaceDN/>
        <w:bidi w:val="0"/>
        <w:spacing w:line="360" w:lineRule="auto"/>
        <w:ind w:firstLine="420"/>
        <w:jc w:val="center"/>
        <w:rPr>
          <w:rFonts w:hint="eastAsia" w:ascii="宋体" w:hAnsi="宋体" w:eastAsia="宋体" w:cs="宋体"/>
          <w:b/>
          <w:bCs/>
          <w:sz w:val="40"/>
          <w:szCs w:val="40"/>
          <w:lang w:val="en-US" w:eastAsia="zh-CN"/>
        </w:rPr>
      </w:pPr>
      <w:r>
        <w:rPr>
          <w:rFonts w:hint="eastAsia" w:ascii="宋体" w:hAnsi="宋体" w:eastAsia="宋体" w:cs="宋体"/>
          <w:b/>
          <w:bCs/>
          <w:sz w:val="40"/>
          <w:szCs w:val="40"/>
          <w:lang w:val="en-US" w:eastAsia="zh-CN"/>
        </w:rPr>
        <w:t>政府采购合同格式</w:t>
      </w:r>
    </w:p>
    <w:p w14:paraId="078053D2">
      <w:pPr>
        <w:pStyle w:val="7"/>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 xml:space="preserve">合同编号： </w:t>
      </w:r>
    </w:p>
    <w:p w14:paraId="440CE83E">
      <w:pPr>
        <w:pStyle w:val="7"/>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 xml:space="preserve">签订地点： </w:t>
      </w:r>
    </w:p>
    <w:p w14:paraId="3194830C">
      <w:pPr>
        <w:pStyle w:val="7"/>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 xml:space="preserve">签订时间: </w:t>
      </w:r>
    </w:p>
    <w:p w14:paraId="0E9298BC">
      <w:pPr>
        <w:pStyle w:val="7"/>
        <w:keepNext w:val="0"/>
        <w:keepLines w:val="0"/>
        <w:pageBreakBefore w:val="0"/>
        <w:kinsoku/>
        <w:wordWrap/>
        <w:overflowPunct/>
        <w:topLinePunct w:val="0"/>
        <w:autoSpaceDE/>
        <w:autoSpaceDN/>
        <w:bidi w:val="0"/>
        <w:adjustRightInd/>
        <w:spacing w:line="360" w:lineRule="auto"/>
        <w:ind w:firstLine="439" w:firstLineChars="183"/>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是否为专门面向中小企业的采购项目：</w:t>
      </w:r>
      <w:r>
        <w:rPr>
          <w:rFonts w:hint="eastAsia" w:ascii="宋体" w:hAnsi="宋体" w:eastAsia="宋体" w:cs="宋体"/>
          <w:sz w:val="24"/>
          <w:szCs w:val="24"/>
          <w:lang w:val="en-US" w:eastAsia="zh-CN"/>
        </w:rPr>
        <w:t>否</w:t>
      </w:r>
    </w:p>
    <w:p w14:paraId="067B319F">
      <w:pPr>
        <w:pStyle w:val="7"/>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采购人（甲方）：</w:t>
      </w:r>
    </w:p>
    <w:p w14:paraId="0AC9F0D7">
      <w:pPr>
        <w:pStyle w:val="7"/>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供应商（乙方）：</w:t>
      </w:r>
    </w:p>
    <w:p w14:paraId="154A7929">
      <w:pPr>
        <w:pStyle w:val="4"/>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w:t>
      </w:r>
      <w:r>
        <w:rPr>
          <w:rFonts w:hint="eastAsia" w:ascii="宋体" w:hAnsi="宋体" w:cs="宋体"/>
          <w:color w:val="000000"/>
          <w:sz w:val="24"/>
          <w:szCs w:val="24"/>
          <w:lang w:eastAsia="zh-CN"/>
        </w:rPr>
        <w:t>软件运维服务采购项目</w:t>
      </w:r>
      <w:r>
        <w:rPr>
          <w:rFonts w:hint="eastAsia" w:ascii="宋体" w:hAnsi="宋体" w:eastAsia="宋体" w:cs="宋体"/>
          <w:sz w:val="24"/>
          <w:szCs w:val="24"/>
        </w:rPr>
        <w:t>（采购项目编号</w:t>
      </w:r>
      <w:r>
        <w:rPr>
          <w:rFonts w:hint="eastAsia" w:ascii="宋体" w:hAnsi="宋体" w:eastAsia="宋体" w:cs="宋体"/>
          <w:color w:val="000000"/>
          <w:sz w:val="24"/>
          <w:szCs w:val="24"/>
          <w:lang w:eastAsia="zh-CN"/>
        </w:rPr>
        <w:t>SXLX25-02-036Z(F)）</w:t>
      </w:r>
      <w:r>
        <w:rPr>
          <w:rFonts w:hint="eastAsia" w:ascii="宋体" w:hAnsi="宋体" w:eastAsia="宋体" w:cs="宋体"/>
          <w:sz w:val="24"/>
          <w:szCs w:val="24"/>
        </w:rPr>
        <w:t>的采购文件、响应文件等有关规定，为确保甲方采购项目的顺利实施，甲、乙双方在平等自愿原则下签订本合同，并共同遵守如下条款，其主要要求如下：</w:t>
      </w:r>
    </w:p>
    <w:p w14:paraId="1F9AF46F">
      <w:pPr>
        <w:keepNext w:val="0"/>
        <w:keepLines w:val="0"/>
        <w:pageBreakBefore w:val="0"/>
        <w:widowControl/>
        <w:kinsoku/>
        <w:wordWrap/>
        <w:overflowPunct/>
        <w:topLinePunct w:val="0"/>
        <w:autoSpaceDE/>
        <w:autoSpaceDN/>
        <w:bidi w:val="0"/>
        <w:adjustRightInd/>
        <w:spacing w:line="360" w:lineRule="auto"/>
        <w:ind w:firstLine="482" w:firstLineChars="200"/>
        <w:jc w:val="left"/>
        <w:textAlignment w:val="auto"/>
        <w:outlineLvl w:val="1"/>
        <w:rPr>
          <w:rFonts w:hint="eastAsia" w:ascii="宋体" w:hAnsi="宋体" w:eastAsia="宋体" w:cs="宋体"/>
          <w:b/>
          <w:sz w:val="24"/>
          <w:szCs w:val="24"/>
        </w:rPr>
      </w:pPr>
      <w:bookmarkStart w:id="0" w:name="_Toc11438"/>
      <w:r>
        <w:rPr>
          <w:rFonts w:hint="eastAsia" w:ascii="宋体" w:hAnsi="宋体" w:eastAsia="宋体" w:cs="宋体"/>
          <w:b/>
          <w:sz w:val="24"/>
          <w:szCs w:val="24"/>
        </w:rPr>
        <w:t>第一条  项目基本情况</w:t>
      </w:r>
      <w:bookmarkEnd w:id="0"/>
    </w:p>
    <w:p w14:paraId="762F093C">
      <w:pPr>
        <w:pStyle w:val="8"/>
        <w:spacing w:line="360" w:lineRule="auto"/>
        <w:ind w:firstLine="400"/>
        <w:jc w:val="both"/>
        <w:rPr>
          <w:rFonts w:hint="eastAsia" w:ascii="宋体" w:hAnsi="宋体" w:eastAsia="宋体" w:cs="宋体"/>
          <w:color w:val="auto"/>
          <w:sz w:val="24"/>
          <w:szCs w:val="24"/>
          <w:highlight w:val="none"/>
          <w:lang w:eastAsia="zh-CN"/>
        </w:rPr>
      </w:pPr>
      <w:bookmarkStart w:id="1" w:name="_Toc24394"/>
      <w:r>
        <w:rPr>
          <w:rFonts w:hint="eastAsia" w:ascii="宋体" w:hAnsi="宋体" w:cs="宋体"/>
          <w:color w:val="auto"/>
          <w:sz w:val="24"/>
          <w:szCs w:val="24"/>
          <w:highlight w:val="none"/>
          <w:lang w:eastAsia="zh-CN"/>
        </w:rPr>
        <w:t>本项目为软件运维服务采购项目，主要内容为对陕西省司法行政戒毒系统在用的平台及系统提供日常运行维护服务</w:t>
      </w:r>
      <w:r>
        <w:rPr>
          <w:rFonts w:hint="eastAsia" w:ascii="宋体" w:hAnsi="宋体" w:eastAsia="宋体" w:cs="宋体"/>
          <w:color w:val="auto"/>
          <w:sz w:val="24"/>
          <w:szCs w:val="24"/>
          <w:highlight w:val="none"/>
          <w:lang w:eastAsia="zh-CN"/>
        </w:rPr>
        <w:t>。</w:t>
      </w:r>
    </w:p>
    <w:p w14:paraId="33408560">
      <w:pPr>
        <w:keepNext w:val="0"/>
        <w:keepLines w:val="0"/>
        <w:pageBreakBefore w:val="0"/>
        <w:widowControl/>
        <w:numPr>
          <w:ilvl w:val="0"/>
          <w:numId w:val="1"/>
        </w:numPr>
        <w:kinsoku/>
        <w:wordWrap/>
        <w:overflowPunct/>
        <w:topLinePunct w:val="0"/>
        <w:autoSpaceDE/>
        <w:autoSpaceDN/>
        <w:bidi w:val="0"/>
        <w:spacing w:line="360" w:lineRule="auto"/>
        <w:ind w:firstLine="482" w:firstLineChars="200"/>
        <w:jc w:val="left"/>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 服务期限</w:t>
      </w:r>
      <w:bookmarkEnd w:id="1"/>
    </w:p>
    <w:p w14:paraId="4A66E76C">
      <w:pPr>
        <w:keepNext w:val="0"/>
        <w:keepLines w:val="0"/>
        <w:pageBreakBefore w:val="0"/>
        <w:widowControl/>
        <w:numPr>
          <w:ilvl w:val="0"/>
          <w:numId w:val="0"/>
        </w:numPr>
        <w:kinsoku/>
        <w:wordWrap/>
        <w:overflowPunct/>
        <w:topLinePunct w:val="0"/>
        <w:autoSpaceDE/>
        <w:autoSpaceDN/>
        <w:bidi w:val="0"/>
        <w:spacing w:line="360" w:lineRule="auto"/>
        <w:jc w:val="left"/>
        <w:outlineLvl w:val="1"/>
        <w:rPr>
          <w:rFonts w:hint="eastAsia" w:ascii="宋体" w:hAnsi="宋体" w:eastAsia="宋体" w:cs="宋体"/>
          <w:b/>
          <w:sz w:val="24"/>
          <w:szCs w:val="24"/>
          <w:highlight w:val="none"/>
          <w:u w:val="single"/>
          <w:lang w:val="en-US" w:eastAsia="zh-CN"/>
        </w:rPr>
      </w:pPr>
      <w:r>
        <w:rPr>
          <w:rFonts w:hint="eastAsia" w:ascii="宋体" w:hAnsi="宋体" w:eastAsia="宋体" w:cs="宋体"/>
          <w:b/>
          <w:sz w:val="24"/>
          <w:szCs w:val="24"/>
          <w:highlight w:val="none"/>
          <w:lang w:val="en-US" w:eastAsia="zh-CN"/>
        </w:rPr>
        <w:t xml:space="preserve"> </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u w:val="single"/>
          <w:lang w:val="en-US" w:eastAsia="zh-CN"/>
        </w:rPr>
        <w:t>1年。</w:t>
      </w:r>
    </w:p>
    <w:p w14:paraId="4F8B903B">
      <w:pPr>
        <w:keepNext w:val="0"/>
        <w:keepLines w:val="0"/>
        <w:pageBreakBefore w:val="0"/>
        <w:widowControl/>
        <w:tabs>
          <w:tab w:val="left" w:pos="387"/>
        </w:tabs>
        <w:kinsoku/>
        <w:wordWrap/>
        <w:overflowPunct/>
        <w:topLinePunct w:val="0"/>
        <w:autoSpaceDE/>
        <w:autoSpaceDN/>
        <w:bidi w:val="0"/>
        <w:spacing w:line="360" w:lineRule="auto"/>
        <w:ind w:firstLine="482" w:firstLineChars="200"/>
        <w:jc w:val="left"/>
        <w:outlineLvl w:val="1"/>
        <w:rPr>
          <w:rFonts w:hint="eastAsia" w:ascii="宋体" w:hAnsi="宋体" w:eastAsia="宋体" w:cs="宋体"/>
          <w:b/>
          <w:sz w:val="24"/>
          <w:szCs w:val="24"/>
          <w:highlight w:val="none"/>
        </w:rPr>
      </w:pPr>
      <w:bookmarkStart w:id="2" w:name="_Toc2407"/>
      <w:bookmarkStart w:id="3" w:name="_Toc211854449"/>
      <w:bookmarkStart w:id="4" w:name="_Toc239233914"/>
      <w:bookmarkStart w:id="5" w:name="_Toc232492928"/>
      <w:bookmarkStart w:id="6" w:name="_Toc237145406"/>
      <w:bookmarkStart w:id="7" w:name="_Toc251768862"/>
      <w:bookmarkStart w:id="8" w:name="_Toc286993786"/>
      <w:bookmarkStart w:id="9" w:name="_Toc247334841"/>
      <w:bookmarkStart w:id="10" w:name="_Toc241833903"/>
      <w:bookmarkStart w:id="11" w:name="_Toc225654644"/>
      <w:bookmarkStart w:id="12" w:name="_Toc225244852"/>
      <w:bookmarkStart w:id="13" w:name="_Toc211911348"/>
      <w:bookmarkStart w:id="14" w:name="_Toc225670751"/>
      <w:bookmarkStart w:id="15" w:name="_Toc212019594"/>
      <w:bookmarkStart w:id="16" w:name="_Toc283019214"/>
      <w:bookmarkStart w:id="17" w:name="_Toc238984975"/>
      <w:bookmarkStart w:id="18" w:name="_Toc185395249"/>
      <w:bookmarkStart w:id="19" w:name="_Toc282696226"/>
      <w:bookmarkStart w:id="20" w:name="_Toc239568418"/>
      <w:r>
        <w:rPr>
          <w:rFonts w:hint="eastAsia" w:ascii="宋体" w:hAnsi="宋体" w:eastAsia="宋体" w:cs="宋体"/>
          <w:b/>
          <w:sz w:val="24"/>
          <w:szCs w:val="24"/>
          <w:highlight w:val="none"/>
        </w:rPr>
        <w:t>第三条  服务内容与质量标准</w:t>
      </w:r>
      <w:bookmarkEnd w:id="2"/>
    </w:p>
    <w:p w14:paraId="43A00DC7">
      <w:pPr>
        <w:pStyle w:val="8"/>
        <w:spacing w:line="360" w:lineRule="auto"/>
        <w:ind w:firstLine="400"/>
        <w:jc w:val="both"/>
        <w:rPr>
          <w:rFonts w:hint="eastAsia" w:ascii="宋体" w:hAnsi="宋体" w:eastAsia="宋体" w:cs="宋体"/>
          <w:color w:val="auto"/>
          <w:sz w:val="24"/>
          <w:szCs w:val="24"/>
          <w:highlight w:val="none"/>
          <w:lang w:val="en-US" w:eastAsia="zh-CN"/>
        </w:rPr>
      </w:pPr>
      <w:bookmarkStart w:id="21" w:name="_Toc20078"/>
      <w:r>
        <w:rPr>
          <w:rFonts w:hint="eastAsia" w:ascii="宋体" w:hAnsi="宋体" w:eastAsia="宋体" w:cs="宋体"/>
          <w:color w:val="auto"/>
          <w:sz w:val="24"/>
          <w:szCs w:val="24"/>
          <w:highlight w:val="none"/>
          <w:lang w:val="en-US" w:eastAsia="zh-CN"/>
        </w:rPr>
        <w:t>服务内容：软件运维服务主要包括对陕西省司法行政戒毒系统在用的统一门户平台、协同办公平台、执法管理平台、内控平台、档案平台和医疗平台提供新增需求实现、结构化及非结构化数据整理、业务应用和数据库备份、安全漏洞修复、业务系统间的数据对接等服务，同时做好平台的运维和技术支持，保障各系统稳定运行。</w:t>
      </w:r>
    </w:p>
    <w:p w14:paraId="344B4D2C">
      <w:pPr>
        <w:pStyle w:val="8"/>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02"/>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服务要求</w:t>
      </w:r>
    </w:p>
    <w:p w14:paraId="3E3A40BB">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1.软件运维服务</w:t>
      </w:r>
    </w:p>
    <w:p w14:paraId="000EDF7E">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①统一门户平台要求‌</w:t>
      </w:r>
    </w:p>
    <w:p w14:paraId="70952004">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根据业务需求优化门户平台的用户界面布局，适配多终端（PC端/移动端）访问，保障系统稳定运行，结构化数据及非结构化数据整理，业务应用和数据库备份，安全漏洞修复定期清理冗余缓存数据，优化数据库查询效率，与其他业务系统间的数据对接等服务。</w:t>
      </w:r>
    </w:p>
    <w:p w14:paraId="0F550846">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②协同办公平台要求‌</w:t>
      </w:r>
    </w:p>
    <w:p w14:paraId="3DE10BC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按照需求优化电子公文流转、日常业务审批等功能模块、优化移动端审批流程和用户预览界面，保障系统稳定运行，结构化数据及非结构化数据整理，业务应用和数据库备份，安全漏洞修复定期清理冗余缓存数据，优化数据库查询效率。</w:t>
      </w:r>
    </w:p>
    <w:p w14:paraId="09F9387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③执法管理平台要求</w:t>
      </w:r>
    </w:p>
    <w:p w14:paraId="240801E2">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按照需求调整优化业务流程、审批表单，结构化数据及非结构化数据整理，保障系统稳定运行，安全漏洞修复定期清理冗余缓存数据，优化数据库查询效率。</w:t>
      </w:r>
    </w:p>
    <w:p w14:paraId="556723F9">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④内控平台要求‌</w:t>
      </w:r>
    </w:p>
    <w:p w14:paraId="597A317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维护采购、报销等功能审批流程，结构化数据及非结构化数据整理，业务应用和数据库备份，保障系统稳定运行，优化数据库查询效率。</w:t>
      </w:r>
    </w:p>
    <w:p w14:paraId="0C03A600">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⑤档案平台要求‌</w:t>
      </w:r>
    </w:p>
    <w:p w14:paraId="46391EBB">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保障系统稳定运行，结构化数据及非结构化数据整理，业务应用和数据库备份，安全漏洞修复定期清理冗余缓存数据，优化数据库查询效率。</w:t>
      </w:r>
    </w:p>
    <w:p w14:paraId="5480160F">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⑥医疗平台要求‌</w:t>
      </w:r>
    </w:p>
    <w:p w14:paraId="4BACC50C">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保障系统稳定运行，结构化数据整理，业务应用和数据库备份安全漏洞修复定期清理冗余缓存数据，优化数据库查询效率。‌</w:t>
      </w:r>
    </w:p>
    <w:p w14:paraId="1C4CFD1C">
      <w:pPr>
        <w:pStyle w:val="8"/>
        <w:keepNext w:val="0"/>
        <w:keepLines w:val="0"/>
        <w:pageBreakBefore w:val="0"/>
        <w:widowControl w:val="0"/>
        <w:kinsoku/>
        <w:wordWrap/>
        <w:overflowPunct/>
        <w:topLinePunct w:val="0"/>
        <w:autoSpaceDE/>
        <w:autoSpaceDN/>
        <w:bidi w:val="0"/>
        <w:adjustRightInd/>
        <w:snapToGrid/>
        <w:spacing w:line="360" w:lineRule="auto"/>
        <w:ind w:firstLine="402"/>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三、其他要求</w:t>
      </w:r>
    </w:p>
    <w:p w14:paraId="579EECE5">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1.采购人根据磋商文件、合同等相关文件，进行验收，确认服务标准和服务方式是否达到采购要求。</w:t>
      </w:r>
    </w:p>
    <w:p w14:paraId="4ACAD7CE">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2.采购人组织供应商进行验收，验收合格后，填写政府采购项目验收单作为对项目的最终认可。</w:t>
      </w:r>
    </w:p>
    <w:p w14:paraId="79BD083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3.供应商向采购人提供服务过程中的所有资料，以便采购人日后管理。</w:t>
      </w:r>
    </w:p>
    <w:p w14:paraId="6AA0ED66">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4.供应商违反合同任何一条即视为违约，承担由此造成的相应损失，采购人有权要求供应商赔偿由此造成的损失。</w:t>
      </w:r>
    </w:p>
    <w:p w14:paraId="4A5F0876">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5.供应商在合同执行期间有义务及时为采购人提供合理化的建设建议，供应商维保工作人员须遵守采购人规章制度，听从采购人有关人员的指挥，严格按照操作规程作业，确保服务安全；</w:t>
      </w:r>
    </w:p>
    <w:p w14:paraId="698AF7D3">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6.‌保密协议‌：服务商需签署保密协议，严禁泄露戒毒人员信息及执法数据；</w:t>
      </w:r>
    </w:p>
    <w:p w14:paraId="34654C80">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服务费用及支付方式</w:t>
      </w:r>
      <w:bookmarkEnd w:id="21"/>
    </w:p>
    <w:p w14:paraId="31AE91F5">
      <w:pPr>
        <w:pStyle w:val="8"/>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1、服务费按下列比例支付价款</w:t>
      </w:r>
    </w:p>
    <w:p w14:paraId="04E537C7">
      <w:pPr>
        <w:pStyle w:val="8"/>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服务总费用为人民币（大写）：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2AAF7338">
      <w:pPr>
        <w:pStyle w:val="8"/>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支付方式：</w:t>
      </w:r>
      <w:r>
        <w:rPr>
          <w:rFonts w:hint="eastAsia" w:ascii="宋体" w:hAnsi="宋体" w:cs="宋体"/>
          <w:color w:val="auto"/>
          <w:sz w:val="24"/>
          <w:szCs w:val="24"/>
          <w:highlight w:val="none"/>
          <w:lang w:eastAsia="zh-CN"/>
        </w:rPr>
        <w:t>软件运维服务</w:t>
      </w:r>
      <w:r>
        <w:rPr>
          <w:rFonts w:hint="eastAsia" w:ascii="宋体" w:hAnsi="宋体" w:eastAsia="宋体" w:cs="宋体"/>
          <w:color w:val="auto"/>
          <w:sz w:val="24"/>
          <w:szCs w:val="24"/>
          <w:highlight w:val="none"/>
        </w:rPr>
        <w:t>项目执行固定总价合同，该项目不受市场价格变化因素影响。</w:t>
      </w:r>
    </w:p>
    <w:p w14:paraId="60418013">
      <w:pPr>
        <w:pStyle w:val="8"/>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①付款条件说明:合同签订后，达到付款条件起30日内，支付合同总金额的 100.00%。</w:t>
      </w:r>
    </w:p>
    <w:p w14:paraId="72B46FB2">
      <w:pPr>
        <w:pStyle w:val="8"/>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2、结算方式：银行转账</w:t>
      </w:r>
    </w:p>
    <w:p w14:paraId="090F47B6">
      <w:pPr>
        <w:pStyle w:val="8"/>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乙方收款账户</w:t>
      </w:r>
    </w:p>
    <w:p w14:paraId="4F68EEAF">
      <w:pPr>
        <w:pStyle w:val="8"/>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账户名称：                 </w:t>
      </w:r>
    </w:p>
    <w:p w14:paraId="62202894">
      <w:pPr>
        <w:pStyle w:val="8"/>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开户银行：                  </w:t>
      </w:r>
    </w:p>
    <w:p w14:paraId="1082492C">
      <w:pPr>
        <w:pStyle w:val="8"/>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银行账号：</w:t>
      </w:r>
      <w:r>
        <w:rPr>
          <w:rFonts w:hint="eastAsia" w:ascii="宋体" w:hAnsi="宋体" w:eastAsia="宋体" w:cs="宋体"/>
          <w:color w:val="auto"/>
          <w:sz w:val="24"/>
          <w:szCs w:val="24"/>
          <w:highlight w:val="none"/>
          <w:lang w:val="en-US" w:eastAsia="zh-CN"/>
        </w:rPr>
        <w:t xml:space="preserve">                  </w:t>
      </w:r>
    </w:p>
    <w:p w14:paraId="5194B15D">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rPr>
      </w:pPr>
      <w:bookmarkStart w:id="22" w:name="_Toc22959"/>
      <w:r>
        <w:rPr>
          <w:rFonts w:hint="eastAsia" w:ascii="宋体" w:hAnsi="宋体" w:eastAsia="宋体" w:cs="宋体"/>
          <w:b/>
          <w:color w:val="auto"/>
          <w:sz w:val="24"/>
          <w:szCs w:val="24"/>
        </w:rPr>
        <w:t>第五条  知识产权（若有）</w:t>
      </w:r>
      <w:bookmarkEnd w:id="22"/>
    </w:p>
    <w:p w14:paraId="051C9042">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4F64E853">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rPr>
      </w:pPr>
      <w:bookmarkStart w:id="23" w:name="_Toc31647"/>
      <w:r>
        <w:rPr>
          <w:rFonts w:hint="eastAsia" w:ascii="宋体" w:hAnsi="宋体" w:eastAsia="宋体" w:cs="宋体"/>
          <w:b/>
          <w:color w:val="auto"/>
          <w:sz w:val="24"/>
          <w:szCs w:val="24"/>
        </w:rPr>
        <w:t>第六条  无产权瑕疵条款（如有）</w:t>
      </w:r>
      <w:bookmarkEnd w:id="23"/>
    </w:p>
    <w:p w14:paraId="4134BDDB">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乙方保证所提供的服务的所有权完全属于乙方且无任何抵押、查封等产权瑕疵。如有产权瑕疵的，视为乙方违约。乙方应负担由此而产生的一切损失。</w:t>
      </w:r>
    </w:p>
    <w:p w14:paraId="0E8E415B">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rPr>
      </w:pPr>
      <w:bookmarkStart w:id="24" w:name="_Toc4779"/>
      <w:r>
        <w:rPr>
          <w:rFonts w:hint="eastAsia" w:ascii="宋体" w:hAnsi="宋体" w:eastAsia="宋体" w:cs="宋体"/>
          <w:b/>
          <w:color w:val="auto"/>
          <w:sz w:val="24"/>
          <w:szCs w:val="24"/>
        </w:rPr>
        <w:t>第七条  履约保证金（如有）</w:t>
      </w:r>
      <w:bookmarkEnd w:id="24"/>
    </w:p>
    <w:p w14:paraId="28884A4B">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
          <w:color w:val="auto"/>
          <w:sz w:val="24"/>
          <w:szCs w:val="24"/>
        </w:rPr>
      </w:pPr>
      <w:r>
        <w:rPr>
          <w:rFonts w:hint="eastAsia" w:ascii="宋体" w:hAnsi="宋体" w:eastAsia="宋体" w:cs="宋体"/>
          <w:color w:val="auto"/>
          <w:kern w:val="0"/>
          <w:sz w:val="24"/>
          <w:szCs w:val="24"/>
        </w:rPr>
        <w:t>1.乙方在签订本合同之前，向甲方提交履约保证金人民币</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23C7A3FB">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bCs/>
          <w:color w:val="auto"/>
          <w:sz w:val="24"/>
          <w:szCs w:val="24"/>
        </w:rPr>
        <w:t>2.</w:t>
      </w:r>
      <w:r>
        <w:rPr>
          <w:rFonts w:hint="eastAsia" w:ascii="宋体" w:hAnsi="宋体" w:eastAsia="宋体" w:cs="宋体"/>
          <w:color w:val="auto"/>
          <w:kern w:val="0"/>
          <w:sz w:val="24"/>
          <w:szCs w:val="24"/>
        </w:rPr>
        <w:t>履约保证金的有效期为乙方承诺的服务期限。</w:t>
      </w:r>
    </w:p>
    <w:p w14:paraId="52229CAB">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3.履约保证金作为违约金的一部分及用于补偿甲方因乙方不能履行合同义务而蒙受的损失。</w:t>
      </w:r>
    </w:p>
    <w:p w14:paraId="0B6CA556">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sz w:val="24"/>
          <w:szCs w:val="24"/>
        </w:rPr>
        <w:t>服务期限结束后，甲方财务部门接到甲方确认本合同服务等约定事项已经履行完毕的正式书面文件后的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日内，向乙方退还履约保证金。</w:t>
      </w:r>
    </w:p>
    <w:p w14:paraId="263F5E03">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color w:val="auto"/>
          <w:sz w:val="24"/>
          <w:szCs w:val="24"/>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27449A8C">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5" w:name="_Toc16162"/>
      <w:r>
        <w:rPr>
          <w:rFonts w:hint="eastAsia" w:ascii="宋体" w:hAnsi="宋体" w:eastAsia="宋体" w:cs="宋体"/>
          <w:b/>
          <w:color w:val="auto"/>
          <w:sz w:val="24"/>
          <w:szCs w:val="24"/>
        </w:rPr>
        <w:t>第八条  甲方的权利和义务</w:t>
      </w:r>
      <w:bookmarkEnd w:id="25"/>
    </w:p>
    <w:p w14:paraId="42E3CC4A">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2F34C0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2.负责检查监督乙方管理工作的实施及制度的执行情况。</w:t>
      </w:r>
    </w:p>
    <w:p w14:paraId="6B019EC4">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3.根据本合同规定，按时向乙方支付应付服务费用。</w:t>
      </w:r>
    </w:p>
    <w:p w14:paraId="29454AE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4.国家</w:t>
      </w:r>
      <w:r>
        <w:rPr>
          <w:rFonts w:hint="eastAsia" w:ascii="宋体" w:hAnsi="宋体" w:eastAsia="宋体" w:cs="宋体"/>
          <w:bCs/>
          <w:color w:val="auto"/>
          <w:sz w:val="24"/>
          <w:szCs w:val="24"/>
          <w:lang w:eastAsia="zh-CN"/>
        </w:rPr>
        <w:t>法律法规</w:t>
      </w:r>
      <w:r>
        <w:rPr>
          <w:rFonts w:hint="eastAsia" w:ascii="宋体" w:hAnsi="宋体" w:eastAsia="宋体" w:cs="宋体"/>
          <w:bCs/>
          <w:color w:val="auto"/>
          <w:sz w:val="24"/>
          <w:szCs w:val="24"/>
        </w:rPr>
        <w:t>所规定由甲方承担的</w:t>
      </w:r>
      <w:r>
        <w:rPr>
          <w:rFonts w:hint="eastAsia" w:ascii="宋体" w:hAnsi="宋体" w:eastAsia="宋体" w:cs="宋体"/>
          <w:bCs/>
          <w:color w:val="auto"/>
          <w:sz w:val="24"/>
          <w:szCs w:val="24"/>
          <w:lang w:eastAsia="zh-CN"/>
        </w:rPr>
        <w:t>其他</w:t>
      </w:r>
      <w:r>
        <w:rPr>
          <w:rFonts w:hint="eastAsia" w:ascii="宋体" w:hAnsi="宋体" w:eastAsia="宋体" w:cs="宋体"/>
          <w:bCs/>
          <w:color w:val="auto"/>
          <w:sz w:val="24"/>
          <w:szCs w:val="24"/>
        </w:rPr>
        <w:t>责任。</w:t>
      </w:r>
    </w:p>
    <w:p w14:paraId="689515C9">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6" w:name="_Toc27740"/>
      <w:r>
        <w:rPr>
          <w:rFonts w:hint="eastAsia" w:ascii="宋体" w:hAnsi="宋体" w:eastAsia="宋体" w:cs="宋体"/>
          <w:b/>
          <w:color w:val="auto"/>
          <w:sz w:val="24"/>
          <w:szCs w:val="24"/>
        </w:rPr>
        <w:t>第九条  乙方的权利和义务</w:t>
      </w:r>
      <w:bookmarkEnd w:id="26"/>
    </w:p>
    <w:p w14:paraId="70A00F48">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1.对本合同规定的委托服务范围内的项目享有管理权及服务义务。</w:t>
      </w:r>
    </w:p>
    <w:p w14:paraId="1537C14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2.根据本合同的规定向甲方收取相关服务费用，并有权在本项目管理范围内管理及合理使用。</w:t>
      </w:r>
    </w:p>
    <w:p w14:paraId="03088811">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3.及时向甲方通告本项目服务范围内有关服务的重大事项，及时配合处理投诉。</w:t>
      </w:r>
    </w:p>
    <w:p w14:paraId="24DF015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color w:val="auto"/>
          <w:sz w:val="24"/>
          <w:szCs w:val="24"/>
        </w:rPr>
        <w:t>4.</w:t>
      </w:r>
      <w:r>
        <w:rPr>
          <w:rFonts w:hint="eastAsia" w:ascii="宋体" w:hAnsi="宋体" w:eastAsia="宋体" w:cs="宋体"/>
          <w:bCs/>
          <w:color w:val="auto"/>
          <w:sz w:val="24"/>
          <w:szCs w:val="24"/>
        </w:rPr>
        <w:t>接受项目行业管理部门及政府有关部门的指导，接受甲方的监督。</w:t>
      </w:r>
    </w:p>
    <w:p w14:paraId="710F8E67">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5.国家</w:t>
      </w:r>
      <w:r>
        <w:rPr>
          <w:rFonts w:hint="eastAsia" w:ascii="宋体" w:hAnsi="宋体" w:eastAsia="宋体" w:cs="宋体"/>
          <w:bCs/>
          <w:color w:val="auto"/>
          <w:sz w:val="24"/>
          <w:szCs w:val="24"/>
          <w:lang w:eastAsia="zh-CN"/>
        </w:rPr>
        <w:t>法律法规</w:t>
      </w:r>
      <w:r>
        <w:rPr>
          <w:rFonts w:hint="eastAsia" w:ascii="宋体" w:hAnsi="宋体" w:eastAsia="宋体" w:cs="宋体"/>
          <w:bCs/>
          <w:color w:val="auto"/>
          <w:sz w:val="24"/>
          <w:szCs w:val="24"/>
        </w:rPr>
        <w:t>所规定由乙方承担的</w:t>
      </w:r>
      <w:r>
        <w:rPr>
          <w:rFonts w:hint="eastAsia" w:ascii="宋体" w:hAnsi="宋体" w:eastAsia="宋体" w:cs="宋体"/>
          <w:bCs/>
          <w:color w:val="auto"/>
          <w:sz w:val="24"/>
          <w:szCs w:val="24"/>
          <w:lang w:eastAsia="zh-CN"/>
        </w:rPr>
        <w:t>其他</w:t>
      </w:r>
      <w:r>
        <w:rPr>
          <w:rFonts w:hint="eastAsia" w:ascii="宋体" w:hAnsi="宋体" w:eastAsia="宋体" w:cs="宋体"/>
          <w:bCs/>
          <w:color w:val="auto"/>
          <w:sz w:val="24"/>
          <w:szCs w:val="24"/>
        </w:rPr>
        <w:t>责任。</w:t>
      </w:r>
    </w:p>
    <w:p w14:paraId="00EFE3CD">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7" w:name="_Toc25988"/>
      <w:r>
        <w:rPr>
          <w:rFonts w:hint="eastAsia" w:ascii="宋体" w:hAnsi="宋体" w:eastAsia="宋体" w:cs="宋体"/>
          <w:b/>
          <w:color w:val="auto"/>
          <w:sz w:val="24"/>
          <w:szCs w:val="24"/>
        </w:rPr>
        <w:t>第十条  违约责任</w:t>
      </w:r>
      <w:bookmarkEnd w:id="27"/>
    </w:p>
    <w:p w14:paraId="6FBB182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rPr>
        <w:t>按照磋商文件及采购人要求执行；</w:t>
      </w: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rPr>
        <w:t>在实施过程中，如果国家或有关部门颁布了新的技术标准或规范，则供应商应采用新的标准或规范进行实施</w:t>
      </w: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‌系统可用性‌：全年平台无重大故障（单次宕机≤1小时）</w:t>
      </w: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rPr>
        <w:t>‌数据完整性‌：备份恢复成功率100%，数据对接错误率≤0.1%。</w:t>
      </w:r>
      <w:r>
        <w:rPr>
          <w:rFonts w:hint="eastAsia" w:ascii="宋体" w:hAnsi="宋体" w:eastAsia="宋体" w:cs="宋体"/>
          <w:bCs/>
          <w:color w:val="auto"/>
          <w:sz w:val="24"/>
          <w:szCs w:val="24"/>
          <w:lang w:val="en-US" w:eastAsia="zh-CN"/>
        </w:rPr>
        <w:t>(4)</w:t>
      </w:r>
      <w:r>
        <w:rPr>
          <w:rFonts w:hint="eastAsia" w:ascii="宋体" w:hAnsi="宋体" w:eastAsia="宋体" w:cs="宋体"/>
          <w:bCs/>
          <w:color w:val="auto"/>
          <w:sz w:val="24"/>
          <w:szCs w:val="24"/>
        </w:rPr>
        <w:t>‌用户满意度‌：干警职工满意度调查≥90分。</w:t>
      </w:r>
      <w:r>
        <w:rPr>
          <w:rFonts w:hint="eastAsia" w:ascii="宋体" w:hAnsi="宋体" w:eastAsia="宋体" w:cs="宋体"/>
          <w:bCs/>
          <w:color w:val="auto"/>
          <w:sz w:val="24"/>
          <w:szCs w:val="24"/>
          <w:lang w:eastAsia="zh-CN"/>
        </w:rPr>
        <w:t>如未按以上要求执行，</w:t>
      </w:r>
      <w:r>
        <w:rPr>
          <w:rFonts w:hint="eastAsia" w:ascii="宋体" w:hAnsi="宋体" w:eastAsia="宋体" w:cs="宋体"/>
          <w:bCs/>
          <w:color w:val="auto"/>
          <w:sz w:val="24"/>
          <w:szCs w:val="24"/>
        </w:rPr>
        <w:t>乙方承担</w:t>
      </w:r>
      <w:r>
        <w:rPr>
          <w:rFonts w:hint="eastAsia" w:ascii="宋体" w:hAnsi="宋体" w:eastAsia="宋体" w:cs="宋体"/>
          <w:bCs/>
          <w:sz w:val="24"/>
          <w:szCs w:val="24"/>
        </w:rPr>
        <w:t>全部的赔偿责任</w:t>
      </w:r>
      <w:r>
        <w:rPr>
          <w:rFonts w:hint="eastAsia" w:ascii="宋体" w:hAnsi="宋体" w:eastAsia="宋体" w:cs="宋体"/>
          <w:bCs/>
          <w:sz w:val="24"/>
          <w:szCs w:val="24"/>
          <w:lang w:eastAsia="zh-CN"/>
        </w:rPr>
        <w:t>。</w:t>
      </w:r>
    </w:p>
    <w:p w14:paraId="5C5CD523">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.甲乙双方必须遵守本合同并执行合同中的各项规定，保证本合同的正常履行。</w:t>
      </w:r>
    </w:p>
    <w:p w14:paraId="76A1B801">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lang w:val="en-US" w:eastAsia="zh-CN"/>
        </w:rPr>
        <w:t>3</w:t>
      </w:r>
      <w:r>
        <w:rPr>
          <w:rFonts w:hint="eastAsia" w:ascii="宋体" w:hAnsi="宋体" w:eastAsia="宋体" w:cs="宋体"/>
          <w:bCs/>
          <w:sz w:val="24"/>
          <w:szCs w:val="24"/>
        </w:rPr>
        <w:t>.如因乙方工作人员在履行职务</w:t>
      </w:r>
      <w:bookmarkStart w:id="66" w:name="_GoBack"/>
      <w:bookmarkEnd w:id="66"/>
      <w:r>
        <w:rPr>
          <w:rFonts w:hint="eastAsia" w:ascii="宋体" w:hAnsi="宋体" w:eastAsia="宋体" w:cs="宋体"/>
          <w:bCs/>
          <w:sz w:val="24"/>
          <w:szCs w:val="24"/>
        </w:rPr>
        <w:t>过程中的疏忽、失职、过错等故意或者过失原因给甲方造成损失或侵害，包括但不限于甲方本身的财产损失、由此而导致的甲方对任何第三方的法律责任等，乙方对此均应承担全部的赔偿责任。</w:t>
      </w:r>
    </w:p>
    <w:p w14:paraId="2BF2FF47">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rPr>
      </w:pPr>
      <w:bookmarkStart w:id="28" w:name="_Toc26448"/>
      <w:r>
        <w:rPr>
          <w:rFonts w:hint="eastAsia" w:ascii="宋体" w:hAnsi="宋体" w:eastAsia="宋体" w:cs="宋体"/>
          <w:b/>
          <w:sz w:val="24"/>
          <w:szCs w:val="24"/>
        </w:rPr>
        <w:t>第十一条  不可抗力事件处理</w:t>
      </w:r>
      <w:bookmarkEnd w:id="28"/>
    </w:p>
    <w:p w14:paraId="196CDF8A">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bookmarkStart w:id="29" w:name="_Toc232492933"/>
      <w:bookmarkStart w:id="30" w:name="_Toc212019599"/>
      <w:bookmarkStart w:id="31" w:name="_Toc286993792"/>
      <w:bookmarkStart w:id="32" w:name="_Toc241833908"/>
      <w:bookmarkStart w:id="33" w:name="_Toc225244857"/>
      <w:bookmarkStart w:id="34" w:name="_Toc185395254"/>
      <w:bookmarkStart w:id="35" w:name="_Toc237145411"/>
      <w:bookmarkStart w:id="36" w:name="_Toc251768867"/>
      <w:bookmarkStart w:id="37" w:name="_Toc211854454"/>
      <w:bookmarkStart w:id="38" w:name="_Toc225654649"/>
      <w:bookmarkStart w:id="39" w:name="_Toc238984980"/>
      <w:bookmarkStart w:id="40" w:name="_Toc225670756"/>
      <w:bookmarkStart w:id="41" w:name="_Toc239233919"/>
      <w:bookmarkStart w:id="42" w:name="_Toc247334846"/>
      <w:bookmarkStart w:id="43" w:name="_Toc239568423"/>
      <w:bookmarkStart w:id="44" w:name="_Toc211911353"/>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2B07A66A">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56017948">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3.不可抗力事件延续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天以上，双方应通过友好协商，确定是否继续履行合同。</w:t>
      </w:r>
    </w:p>
    <w:p w14:paraId="786910F6">
      <w:pPr>
        <w:keepNext w:val="0"/>
        <w:keepLines w:val="0"/>
        <w:pageBreakBefore w:val="0"/>
        <w:widowControl/>
        <w:kinsoku/>
        <w:wordWrap/>
        <w:overflowPunct/>
        <w:topLinePunct w:val="0"/>
        <w:autoSpaceDE/>
        <w:autoSpaceDN/>
        <w:bidi w:val="0"/>
        <w:spacing w:before="120" w:beforeLines="50" w:after="120" w:afterLines="50" w:line="360" w:lineRule="auto"/>
        <w:ind w:firstLine="482" w:firstLineChars="200"/>
        <w:jc w:val="left"/>
        <w:outlineLvl w:val="1"/>
        <w:rPr>
          <w:rFonts w:hint="eastAsia" w:ascii="宋体" w:hAnsi="宋体" w:eastAsia="宋体" w:cs="宋体"/>
          <w:kern w:val="0"/>
          <w:sz w:val="24"/>
          <w:szCs w:val="24"/>
        </w:rPr>
      </w:pPr>
      <w:bookmarkStart w:id="45" w:name="_Toc20448"/>
      <w:r>
        <w:rPr>
          <w:rFonts w:hint="eastAsia" w:ascii="宋体" w:hAnsi="宋体" w:eastAsia="宋体" w:cs="宋体"/>
          <w:b/>
          <w:sz w:val="24"/>
          <w:szCs w:val="24"/>
        </w:rPr>
        <w:t xml:space="preserve">第十二条  </w:t>
      </w:r>
      <w:r>
        <w:rPr>
          <w:rFonts w:hint="eastAsia" w:ascii="宋体" w:hAnsi="宋体" w:eastAsia="宋体" w:cs="宋体"/>
          <w:b/>
          <w:kern w:val="0"/>
          <w:sz w:val="24"/>
          <w:szCs w:val="24"/>
        </w:rPr>
        <w:t>合同的变更和终止</w:t>
      </w:r>
      <w:bookmarkEnd w:id="45"/>
    </w:p>
    <w:p w14:paraId="34969DEA">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除《中华人民共和国政府采购法》第49条、第50条第二款规定的情形外，本合同一经签订，甲乙双方不得擅自变更、中止或终止合同。</w:t>
      </w:r>
    </w:p>
    <w:p w14:paraId="2D722CCF">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rPr>
      </w:pPr>
      <w:bookmarkStart w:id="46" w:name="_Toc32004"/>
      <w:r>
        <w:rPr>
          <w:rFonts w:hint="eastAsia" w:ascii="宋体" w:hAnsi="宋体" w:eastAsia="宋体" w:cs="宋体"/>
          <w:b/>
          <w:sz w:val="24"/>
          <w:szCs w:val="24"/>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5E271BA4">
      <w:pPr>
        <w:pStyle w:val="7"/>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rPr>
      </w:pPr>
      <w:r>
        <w:rPr>
          <w:rFonts w:hint="eastAsia" w:ascii="宋体" w:hAnsi="宋体" w:eastAsia="宋体" w:cs="宋体"/>
          <w:sz w:val="24"/>
          <w:szCs w:val="24"/>
        </w:rPr>
        <w:t>1、在执行本合同中发生的或与本合同有关的争端，双方应通过友好协商解决，经协商在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天内不能达成协议时，</w:t>
      </w:r>
      <w:r>
        <w:rPr>
          <w:rFonts w:hint="eastAsia" w:ascii="宋体" w:hAnsi="宋体" w:eastAsia="宋体" w:cs="宋体"/>
          <w:kern w:val="0"/>
          <w:sz w:val="24"/>
          <w:szCs w:val="24"/>
        </w:rPr>
        <w:t>则采取以下第</w:t>
      </w:r>
      <w:r>
        <w:rPr>
          <w:rFonts w:hint="eastAsia" w:ascii="宋体" w:hAnsi="宋体" w:eastAsia="宋体" w:cs="宋体"/>
          <w:kern w:val="0"/>
          <w:sz w:val="24"/>
          <w:szCs w:val="24"/>
          <w:u w:val="single"/>
        </w:rPr>
        <w:t xml:space="preserve"> 1 </w:t>
      </w:r>
      <w:r>
        <w:rPr>
          <w:rFonts w:hint="eastAsia" w:ascii="宋体" w:hAnsi="宋体" w:eastAsia="宋体" w:cs="宋体"/>
          <w:kern w:val="0"/>
          <w:sz w:val="24"/>
          <w:szCs w:val="24"/>
        </w:rPr>
        <w:t>种方式解决争议：</w:t>
      </w:r>
    </w:p>
    <w:p w14:paraId="131BE6A8">
      <w:pPr>
        <w:pStyle w:val="7"/>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rPr>
      </w:pPr>
      <w:r>
        <w:rPr>
          <w:rFonts w:hint="eastAsia" w:ascii="宋体" w:hAnsi="宋体" w:eastAsia="宋体" w:cs="宋体"/>
          <w:kern w:val="0"/>
          <w:sz w:val="24"/>
          <w:szCs w:val="24"/>
        </w:rPr>
        <w:t>（1）向甲方所在地有管辖权的人民法院提起诉讼；</w:t>
      </w:r>
    </w:p>
    <w:p w14:paraId="553F0E5E">
      <w:pPr>
        <w:pStyle w:val="7"/>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rPr>
      </w:pPr>
      <w:r>
        <w:rPr>
          <w:rFonts w:hint="eastAsia" w:ascii="宋体" w:hAnsi="宋体" w:eastAsia="宋体" w:cs="宋体"/>
          <w:kern w:val="0"/>
          <w:sz w:val="24"/>
          <w:szCs w:val="24"/>
        </w:rPr>
        <w:t>（2）向</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仲裁委员会按其仲裁规则申请仲裁。</w:t>
      </w:r>
    </w:p>
    <w:p w14:paraId="6EEE5A6F">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2、在仲裁期间，本合同应继续履行。</w:t>
      </w:r>
    </w:p>
    <w:p w14:paraId="35D5A2C7">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rPr>
      </w:pPr>
      <w:bookmarkStart w:id="47" w:name="_Toc211911354"/>
      <w:bookmarkStart w:id="48" w:name="_Toc211854455"/>
      <w:bookmarkStart w:id="49" w:name="_Toc241833909"/>
      <w:bookmarkStart w:id="50" w:name="_Toc283019219"/>
      <w:bookmarkStart w:id="51" w:name="_Toc212019600"/>
      <w:bookmarkStart w:id="52" w:name="_Toc239233920"/>
      <w:bookmarkStart w:id="53" w:name="_Toc251768868"/>
      <w:bookmarkStart w:id="54" w:name="_Toc237145412"/>
      <w:bookmarkStart w:id="55" w:name="_Toc247334847"/>
      <w:bookmarkStart w:id="56" w:name="_Toc282696231"/>
      <w:bookmarkStart w:id="57" w:name="_Toc225654650"/>
      <w:bookmarkStart w:id="58" w:name="_Toc286993793"/>
      <w:bookmarkStart w:id="59" w:name="_Toc185395255"/>
      <w:bookmarkStart w:id="60" w:name="_Toc232492934"/>
      <w:bookmarkStart w:id="61" w:name="_Toc238984981"/>
      <w:bookmarkStart w:id="62" w:name="_Toc225244858"/>
      <w:bookmarkStart w:id="63" w:name="_Toc239568424"/>
      <w:bookmarkStart w:id="64" w:name="_Toc225670757"/>
      <w:bookmarkStart w:id="65" w:name="_Toc28433"/>
      <w:r>
        <w:rPr>
          <w:rFonts w:hint="eastAsia" w:ascii="宋体" w:hAnsi="宋体" w:eastAsia="宋体" w:cs="宋体"/>
          <w:b/>
          <w:sz w:val="24"/>
          <w:szCs w:val="24"/>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sz w:val="24"/>
          <w:szCs w:val="24"/>
        </w:rPr>
        <w:t>生效及其他</w:t>
      </w:r>
      <w:bookmarkEnd w:id="65"/>
    </w:p>
    <w:p w14:paraId="10EE08AC">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1、合同经双方法定代表人（单位负责人）或授权委托代理人签字并加盖单位公章并由采购代理机构盖章后生效。</w:t>
      </w:r>
    </w:p>
    <w:p w14:paraId="77B73996">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w:t>
      </w:r>
      <w:r>
        <w:rPr>
          <w:rFonts w:hint="eastAsia" w:ascii="宋体" w:hAnsi="宋体" w:eastAsia="宋体" w:cs="宋体"/>
          <w:sz w:val="24"/>
          <w:szCs w:val="24"/>
          <w:lang w:eastAsia="zh-CN"/>
        </w:rPr>
        <w:t>订</w:t>
      </w:r>
      <w:r>
        <w:rPr>
          <w:rFonts w:hint="eastAsia" w:ascii="宋体" w:hAnsi="宋体" w:eastAsia="宋体" w:cs="宋体"/>
          <w:sz w:val="24"/>
          <w:szCs w:val="24"/>
        </w:rPr>
        <w:t>书面补充协议报政府采购监督管理部门备案，方可作为主合同不可分割的一部分。</w:t>
      </w:r>
    </w:p>
    <w:p w14:paraId="4A2096E4">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3、本合同一式</w:t>
      </w:r>
      <w:r>
        <w:rPr>
          <w:rFonts w:hint="eastAsia" w:ascii="宋体" w:hAnsi="宋体" w:eastAsia="宋体" w:cs="宋体"/>
          <w:sz w:val="24"/>
          <w:szCs w:val="24"/>
          <w:highlight w:val="none"/>
          <w:lang w:val="en-US" w:eastAsia="zh-CN"/>
        </w:rPr>
        <w:t>陆</w:t>
      </w:r>
      <w:r>
        <w:rPr>
          <w:rFonts w:hint="eastAsia" w:ascii="宋体" w:hAnsi="宋体" w:eastAsia="宋体" w:cs="宋体"/>
          <w:sz w:val="24"/>
          <w:szCs w:val="24"/>
          <w:highlight w:val="none"/>
        </w:rPr>
        <w:t>份，自双方签章之日起</w:t>
      </w:r>
      <w:r>
        <w:rPr>
          <w:rFonts w:hint="eastAsia" w:ascii="宋体" w:hAnsi="宋体" w:eastAsia="宋体" w:cs="宋体"/>
          <w:sz w:val="24"/>
          <w:szCs w:val="24"/>
          <w:highlight w:val="none"/>
          <w:lang w:eastAsia="zh-CN"/>
        </w:rPr>
        <w:t>生</w:t>
      </w:r>
      <w:r>
        <w:rPr>
          <w:rFonts w:hint="eastAsia" w:ascii="宋体" w:hAnsi="宋体" w:eastAsia="宋体" w:cs="宋体"/>
          <w:sz w:val="24"/>
          <w:szCs w:val="24"/>
          <w:highlight w:val="none"/>
        </w:rPr>
        <w:t>效。甲方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份，政府采购代理机构壹份，同级财政部门备案壹份，具有同等法律效力。</w:t>
      </w:r>
    </w:p>
    <w:p w14:paraId="6F2F664F">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第十五条 附件</w:t>
      </w:r>
    </w:p>
    <w:p w14:paraId="6C3AA64E">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项目采购文件</w:t>
      </w:r>
      <w:r>
        <w:rPr>
          <w:rFonts w:hint="eastAsia" w:ascii="宋体" w:hAnsi="宋体" w:eastAsia="宋体" w:cs="宋体"/>
          <w:sz w:val="24"/>
          <w:szCs w:val="24"/>
          <w:highlight w:val="none"/>
          <w:lang w:eastAsia="zh-CN"/>
        </w:rPr>
        <w:t>；</w:t>
      </w:r>
    </w:p>
    <w:p w14:paraId="2A0F03FE">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、项目响应文件</w:t>
      </w:r>
      <w:r>
        <w:rPr>
          <w:rFonts w:hint="eastAsia" w:ascii="宋体" w:hAnsi="宋体" w:eastAsia="宋体" w:cs="宋体"/>
          <w:sz w:val="24"/>
          <w:szCs w:val="24"/>
          <w:highlight w:val="none"/>
          <w:lang w:eastAsia="zh-CN"/>
        </w:rPr>
        <w:t>；</w:t>
      </w:r>
    </w:p>
    <w:p w14:paraId="6F90D5BF">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、成交通知书</w:t>
      </w:r>
      <w:r>
        <w:rPr>
          <w:rFonts w:hint="eastAsia" w:ascii="宋体" w:hAnsi="宋体" w:eastAsia="宋体" w:cs="宋体"/>
          <w:sz w:val="24"/>
          <w:szCs w:val="24"/>
          <w:highlight w:val="none"/>
          <w:lang w:eastAsia="zh-CN"/>
        </w:rPr>
        <w:t>；</w:t>
      </w:r>
    </w:p>
    <w:p w14:paraId="4E339A8F">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、其他</w:t>
      </w:r>
      <w:r>
        <w:rPr>
          <w:rFonts w:hint="eastAsia" w:ascii="宋体" w:hAnsi="宋体" w:eastAsia="宋体" w:cs="宋体"/>
          <w:sz w:val="24"/>
          <w:szCs w:val="24"/>
          <w:highlight w:val="none"/>
          <w:lang w:eastAsia="zh-CN"/>
        </w:rPr>
        <w:t>。</w:t>
      </w:r>
    </w:p>
    <w:p w14:paraId="4EDE7F2C">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p>
    <w:p w14:paraId="6E519CB6">
      <w:pPr>
        <w:pStyle w:val="9"/>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eastAsia="zh-CN"/>
        </w:rPr>
      </w:pPr>
    </w:p>
    <w:p w14:paraId="5FD38E84">
      <w:pPr>
        <w:rPr>
          <w:rFonts w:hint="eastAsia" w:ascii="宋体" w:hAnsi="宋体" w:eastAsia="宋体" w:cs="宋体"/>
          <w:sz w:val="24"/>
          <w:szCs w:val="24"/>
        </w:rPr>
      </w:pPr>
      <w:r>
        <w:rPr>
          <w:rFonts w:hint="eastAsia" w:ascii="宋体" w:hAnsi="宋体" w:eastAsia="宋体" w:cs="宋体"/>
          <w:sz w:val="24"/>
          <w:szCs w:val="24"/>
        </w:rPr>
        <w:br w:type="page"/>
      </w:r>
    </w:p>
    <w:p w14:paraId="7225274C">
      <w:pPr>
        <w:pStyle w:val="3"/>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lang w:eastAsia="zh-CN"/>
        </w:rPr>
      </w:pPr>
      <w:r>
        <w:rPr>
          <w:rFonts w:hint="eastAsia" w:ascii="宋体" w:hAnsi="宋体" w:cs="宋体"/>
          <w:sz w:val="24"/>
          <w:szCs w:val="24"/>
          <w:lang w:eastAsia="zh-CN"/>
        </w:rPr>
        <w:t>（</w:t>
      </w:r>
      <w:r>
        <w:rPr>
          <w:rFonts w:hint="eastAsia" w:ascii="宋体" w:hAnsi="宋体" w:cs="宋体"/>
          <w:sz w:val="24"/>
          <w:szCs w:val="24"/>
          <w:lang w:val="en-US" w:eastAsia="zh-CN"/>
        </w:rPr>
        <w:t>此页无正文</w:t>
      </w:r>
      <w:r>
        <w:rPr>
          <w:rFonts w:hint="eastAsia" w:ascii="宋体" w:hAnsi="宋体" w:cs="宋体"/>
          <w:sz w:val="24"/>
          <w:szCs w:val="24"/>
          <w:lang w:eastAsia="zh-CN"/>
        </w:rPr>
        <w:t>）</w:t>
      </w:r>
    </w:p>
    <w:p w14:paraId="50B9DDA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甲方：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（盖章）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乙方：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（盖章）</w:t>
      </w:r>
    </w:p>
    <w:p w14:paraId="6B37FA8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法定代表人：（单位负责人）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法定代表人：（单位负责人）</w:t>
      </w:r>
    </w:p>
    <w:p w14:paraId="367C39DE">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    址：                           地    址：</w:t>
      </w:r>
    </w:p>
    <w:p w14:paraId="41841D5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开户银行：                           开户银行：</w:t>
      </w:r>
    </w:p>
    <w:p w14:paraId="17D6B991">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账号：                               账号：</w:t>
      </w:r>
    </w:p>
    <w:p w14:paraId="6A5E4A59">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    话：                           电    话：</w:t>
      </w:r>
    </w:p>
    <w:p w14:paraId="4E05C3F6">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传    真：                           传    真：</w:t>
      </w:r>
    </w:p>
    <w:p w14:paraId="3C48614D">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签约日期：  年  月  日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签约日期：  年  月  日</w:t>
      </w:r>
    </w:p>
    <w:p w14:paraId="73031642">
      <w:pPr>
        <w:pStyle w:val="2"/>
        <w:spacing w:before="120" w:beforeLines="50"/>
        <w:ind w:left="0" w:leftChars="0" w:firstLine="0" w:firstLineChars="0"/>
        <w:jc w:val="center"/>
        <w:outlineLvl w:val="1"/>
        <w:rPr>
          <w:rFonts w:hint="eastAsia" w:ascii="方正小标宋简体" w:eastAsia="方正小标宋简体"/>
          <w:sz w:val="28"/>
          <w:szCs w:val="28"/>
          <w:lang w:val="en-US" w:eastAsia="zh-CN"/>
        </w:rPr>
      </w:pPr>
    </w:p>
    <w:p w14:paraId="7151780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7693ED"/>
    <w:multiLevelType w:val="singleLevel"/>
    <w:tmpl w:val="1C7693ED"/>
    <w:lvl w:ilvl="0" w:tentative="0">
      <w:start w:val="2"/>
      <w:numFmt w:val="chineseCounting"/>
      <w:suff w:val="space"/>
      <w:lvlText w:val="第%1条"/>
      <w:lvlJc w:val="left"/>
      <w:rPr>
        <w:rFonts w:hint="eastAsia"/>
      </w:rPr>
    </w:lvl>
  </w:abstractNum>
  <w:abstractNum w:abstractNumId="1">
    <w:nsid w:val="25654A15"/>
    <w:multiLevelType w:val="singleLevel"/>
    <w:tmpl w:val="25654A15"/>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CE3F8A"/>
    <w:rsid w:val="042A05AB"/>
    <w:rsid w:val="69BA12A7"/>
    <w:rsid w:val="79CE3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null3"/>
    <w:qFormat/>
    <w:uiPriority w:val="0"/>
    <w:rPr>
      <w:rFonts w:hint="eastAsia" w:ascii="Calibri" w:hAnsi="Calibri" w:eastAsia="宋体" w:cs="Times New Roman"/>
      <w:lang w:val="en-US" w:eastAsia="zh-Hans"/>
    </w:rPr>
  </w:style>
  <w:style w:type="paragraph" w:styleId="9">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2967</Words>
  <Characters>3030</Characters>
  <Lines>0</Lines>
  <Paragraphs>0</Paragraphs>
  <TotalTime>3</TotalTime>
  <ScaleCrop>false</ScaleCrop>
  <LinksUpToDate>false</LinksUpToDate>
  <CharactersWithSpaces>3374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2025-05-14T00:07:00Z</dcterms:created>
  <dc:creator>Lenovo</dc:creator>
  <cp:lastModifiedBy>Lenovo</cp:lastModifiedBy>
  <dcterms:modified xsi:type="dcterms:W3CDTF">2025-05-14T01:38:35Z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5C225EFE7FD24B18861327C7AE3184AF_13</vt:lpwstr>
  </property>
  <property fmtid="{D5CDD505-2E9C-101B-9397-08002B2CF9AE}" pid="4" name="KSOTemplateDocerSaveRecord">
    <vt:lpwstr>eyJoZGlkIjoiMWQ0MmEzNTY2NTVlNjVlOWJkMzQ1YTQ2OTA2NDMxMzQiLCJ1c2VySWQiOiI0NDgyMTE1NDUifQ==</vt:lpwstr>
  </property>
</Properties>
</file>