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版本号：ZDJ125-012／02ZSA20250515001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涉路施工活动许可技术咨询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ZDJ125-012／02ZSA</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涉路施工活动许可技术咨询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ZDJ125-012／02ZSA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涉路施工活动许可技术咨询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提供2025年度涉路施工活动许可技术咨询服务。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1、企业资质：提供工程勘察综合资质甲级或工程勘察(岩土工程)专业资质乙级及以上;提供工程设计综合资质甲级或工程设计公路行业甲级或工程设计公路行业公路专业甲级资质。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1、企业资质：提供工程勘察综合资质甲级或工程勘察(岩土工程)专业资质乙级及以上;提供工程设计综合资质甲级或工程设计公路行业甲级或工程设计公路行业公路专业甲级资质。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于英敏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029-88408779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卓腾、王亚妮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029-82471109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说明：1.履约担保的形式：支票、汇票、本票或者金融机构、担保机构出具的保函等非现金形式提交。 2.履约保证金的金额：合同金额的5%。 3.履约保证金交纳时间：发出成交通知书后、签订合同前。 4.履约担保有效期：至服务期满。 5.履约保证金退还时间、条件：在项目验收合格后且无任何纠纷后28天内无息退还。 6.乙方不履行与甲方订立的合同的，履约保证金不予退还，给甲方造成的损失超过履约保证金数额的，还应当对超过部分予以赔偿。</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说明：1.履约担保的形式：支票、汇票、本票或者金融机构、担保机构出具的保函等非现金形式提交。 2.履约保证金的金额：合同金额的5%。 3.履约保证金交纳时间：发出成交通知书后、签订合同前。 4.履约担保有效期：至服务期满。 5.履约保证金退还时间、条件：在项目验收合格后且无任何纠纷后28天内无息退还。 6.乙方不履行与甲方订立的合同的，履约保证金不予退还，给甲方造成的损失超过履约保证金数额的，还应当对超过部分予以赔偿。</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代理服务费收费标准：依据采购人与代理机构签订的代理合同以项目成交金额的1%收取，由成交单位领取成交通知书前一次付清代理服务费。 开户名称：正大方略工程咨询有限公司西安第一分公司 开户行：交通银行西安友谊西路支行 账号：611301130018150039138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1.成果提交：根据竞争性磋商文件及采购人要求提供。 2.符合国家及相关行业标准。 3.项目完成后，供应商应将项目过程及成果涉及的所有数据、资料交还采购人，并按要求销毁供应商涉及项目的所有成果资料，后续继续提供相关支持服务。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1.成果提交：根据竞争性磋商文件及采购人要求提供。 2.符合国家及相关行业标准。 3.项目完成后，供应商应将项目过程及成果涉及的所有数据、资料交还采购人，并按要求销毁供应商涉及项目的所有成果资料，后续继续提供相关支持服务。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联系人：卓腾、王亚妮</w:t>
      </w:r>
    </w:p>
    <w:p>
      <w:pPr>
        <w:pStyle w:val="null3"/>
      </w:pPr>
      <w:r>
        <w:rPr>
          <w:rFonts w:ascii="仿宋_GB2312" w:hAnsi="仿宋_GB2312" w:cs="仿宋_GB2312" w:eastAsia="仿宋_GB2312"/>
        </w:rPr>
        <w:t>联系电话：029-82471109</w:t>
      </w:r>
    </w:p>
    <w:p>
      <w:pPr>
        <w:pStyle w:val="null3"/>
      </w:pPr>
      <w:r>
        <w:rPr>
          <w:rFonts w:ascii="仿宋_GB2312" w:hAnsi="仿宋_GB2312" w:cs="仿宋_GB2312" w:eastAsia="仿宋_GB2312"/>
        </w:rPr>
        <w:t>地址：陕西省西安市雁塔区南二环东段22号凯森盛世1号A座26层2617室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提供2025年度涉路施工活动许可技术咨询服务。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涉路施工活动许可技术咨询（一标段）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涉路施工活动许可技术咨询（二标段）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标的名称：涉路施工活动许可技术咨询（一标段）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1.2025年度涉路施工活动许可技术咨询服务，主要内容为协助采购单位审查涉路施工项目的申请材料（审查涉路施工项目件数约35件），包括安全评估报告，施工方案，设计方案，应急方案等材料，组织专家审查会审查涉路施工材料的真实性，出具书面审查意见，施工结束后组织验收工作，包括会议组织和专家抽调；提供其他技术方案审查咨询。</w:t>
            </w:r>
          </w:p>
          <w:p>
            <w:pPr>
              <w:pStyle w:val="null3"/>
              <w:jc w:val="both"/>
            </w:pPr>
            <w:r>
              <w:rPr>
                <w:rFonts w:ascii="仿宋_GB2312" w:hAnsi="仿宋_GB2312" w:cs="仿宋_GB2312" w:eastAsia="仿宋_GB2312"/>
                <w:sz w:val="21"/>
              </w:rPr>
              <w:t>2.本采购包以固定总价为结算依据，除合同约定的变更情形外，采购人不再额外支付费用。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标的名称：涉路施工活动许可技术咨询（二标段）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1.2025年度涉路施工活动许可技术咨询服务，主要内容为协助采购单位审查涉路施工项目的申请材料（审查涉路施工项目件数约35件），包括安全评估报告，施工方案，设计方案，应急方案等材料，组织专家审查会审查涉路施工材料的真实性，出具书面审查意见，施工结束后组织验收工作，包括会议组织和专家抽调；审查超限检测站方案设计并提交审查意见（审查超限检测站方案设计数约10个）；提供其他技术方案审查咨询。</w:t>
            </w:r>
          </w:p>
          <w:p>
            <w:pPr>
              <w:pStyle w:val="null3"/>
              <w:jc w:val="both"/>
            </w:pPr>
            <w:r>
              <w:rPr>
                <w:rFonts w:ascii="仿宋_GB2312" w:hAnsi="仿宋_GB2312" w:cs="仿宋_GB2312" w:eastAsia="仿宋_GB2312"/>
                <w:sz w:val="21"/>
              </w:rPr>
              <w:t>2.本采购包以固定总价为结算依据，除合同约定的变更情形外，采购人不再额外支付费用。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供应商按照采购需求在响应文件中自行列出。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供应商按照采购需求在响应文件中自行列出。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供应商按照采购需求可能涉及的设施设备在响应文件中自行列出。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供应商按照采购需求可能涉及的设施设备在响应文件中自行列出。</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合同签订之日起1年内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1.成果提交：根据竞争性磋商文件及采购人要求提供。 2.符合国家及相关行业标准。 3.项目完成后，供应商应将项目过程及成果涉及的所有数据、资料交还采购人，并按要求销毁供应商涉及项目的所有成果资料，后续继续提供相关支持服务。 验收方法： 由供应商进行自检合格后，提交履约情况报告，并书面通知采购人。采购人确认供应商能够达到合同履约要求后，组织供应商（必要时请有关专家）进行项目验收，验收合格后，填写项目验收单作为对项目的最终认可。</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考核（验收）标准：1.成果提交：根据竞争性磋商文件及采购人要求提供。 2.符合国家及相关行业标准。 3.项目完成后，供应商应将项目过程及成果涉及的所有数据、资料交还采购人，并按要求销毁供应商涉及项目的所有成果资料，后续继续提供相关支持服务。 验收方法： 由供应商进行自检合格后，提交履约情况报告，并书面通知采购人。采购人确认供应商能够达到合同履约要求后，组织供应商（必要时请有关专家）进行项目验收，验收合格后，填写项目验收单作为对项目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双方签署合同且收到发票后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2025年12月份前且收到发票后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双方签署合同且收到发票后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2025年12月份前且收到发票后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1.采购人逾期付款，应就逾期部分向供应商支付按照中国人民银行规定的同期贷款基准利率计算的逾期付款违约金。 2.采购人违反合同规定拒绝接收服务的，应当承担由此对供应商造成的损失。 3.供应商不能按期交付成果资料的，每逾期1日，供应商应向采购人赔付合同总价的0.1%作为违约金。当违约行为给对方造成损失时，若违约金不足以弥补全部损失，违约方还应当赔偿对方因此所受全部损失。当构成严重违约时，对方可以单方面决定解除或终止合同履行，违约方同时还应当承担违约及／或赔偿责任。4.供应商所交成果资料不符合国家法律法规和合同规定的，采购人有权拒收，并由供应商承担一切费用。5.若供应商未如期按照合同约定的款项内容之要求提供服务／或供应商未能履行合同规定的任何其它义务时，采购人有权直接向乙方发出违约通知书，同时供应商还应承担由此发生的相关费用并承担由此给采购人造成的直接损失及采购人因此产生的对第三方的责任。6.如果供应商在收到采购人的违约通知书后十日内未作答复，采购人有权解除合同，供应商应按照合同总金额的20%向采购人承担违约责任，并赔偿给采购人造成的一切损失。 7.双方本着友好合作的态度,对合同履行过程中发生的违约行为进行及时的协商解决,如不能协商解决可向采购人住所地法院起诉。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1.采购人逾期付款，应就逾期部分向供应商支付按照中国人民银行规定的同期贷款基准利率计算的逾期付款违约金。 2.采购人违反合同规定拒绝接收服务的，应当承担由此对供应商造成的损失。 3.供应商不能按期交付成果资料的，每逾期1日，供应商应向采购人赔付合同总价的0.1%作为违约金。当违约行为给对方造成损失时，若违约金不足以弥补全部损失，违约方还应当赔偿对方因此所受全部损失。当构成严重违约时，对方可以单方面决定解除或终止合同履行，违约方同时还应当承担违约及／或赔偿责任。4.供应商所交成果资料不符合国家法律法规和合同规定的，采购人有权拒收，并由供应商承担一切费用。5.若供应商未如期按照合同约定的款项内容之要求提供服务／或供应商未能履行合同规定的任何其它义务时，采购人有权直接向乙方发出违约通知书，同时供应商还应承担由此发生的相关费用并承担由此给采购人造成的直接损失及采购人因此产生的对第三方的责任。6.如果供应商在收到采购人的违约通知书后十日内未作答复，采购人有权解除合同，供应商应按照合同总金额的20%向采购人承担违约责任，并赔偿给采购人造成的一切损失。 7.双方本着友好合作的态度,对合同履行过程中发生的违约行为进行及时的协商解决,如不能协商解决可向采购人住所地法院起诉。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3.4.1磋商文件中采购标的所属行业为“其他未列明行业”。从业人员300人以下的为中小微型企业。其中，从业人员100人及以上的为中型企业；从业人员10人及以上的为小型企业；从业人员10人以下的为微型企业。 3.4.2本项目采购标的允许同一供应商可对多个标包同时进行响应，但同一供应商最终只能中1个标包。如同一供应商在不同标包评标综合得分均为第一，则推荐预算金额最高的作为排名第一的中标（成交）候选人所中标包。依此原则，对其它标包根据评标综合得分由高到低重新排序并推荐中标（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采购活动3年内，在经营活动中没有重大违法记录以及未被列入失信被执行人、重大税收违法案件当事人名单、政府采购严重违法失信行为记录名单的书面声明；（6）法定代表人（单位负责人）参加投标的，提供本人身份证；法定代表人（单位负责人）授权他人参加投标的，提供法定代表人委托授权书并出示被授权代表的身份证。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商务技术资料 响应文件封面 供应商应提交的资格证明材料 商务应答表 服务内容及服务要求应答表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供应商2023年或2024年度经审计的财务会计报告，包括 “四表一注” 或者提供响应文件截止时间前3个月内其基本账户开户银行出具的资信证明；供应商成立不到1年的，可提供企业任意时段财务报表；供应商为公益类事业单位或者自然人的无需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采购活动3年内，在经营活动中没有重大违法记录以及未被列入失信被执行人、重大税收违法案件当事人名单、政府采购严重违法失信行为记录名单的书面声明；（6）法定代表人（单位负责人）参加投标的，提供本人身份证；法定代表人（单位负责人）授权他人参加投标的，提供法定代表人委托授权书并出示被授权代表的身份证。</w:t>
            </w:r>
          </w:p>
        </w:tc>
        <w:tc>
          <w:tcPr>
            <w:tcW w:type="dxa" w:w="1661"/>
          </w:tcPr>
          <w:p>
            <w:pPr>
              <w:pStyle w:val="null3"/>
            </w:pPr>
            <w:r>
              <w:rPr>
                <w:rFonts w:ascii="仿宋_GB2312" w:hAnsi="仿宋_GB2312" w:cs="仿宋_GB2312" w:eastAsia="仿宋_GB2312"/>
              </w:rPr>
              <w:t>响应文件封面 商务技术资料 供应商应提交的资格证明材料 商务应答表 服务内容及服务要求应答表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供应商2023年或2024年度经审计的财务会计报告，包括 “四表一注” 或者提供响应文件截止时间前3个月内其基本账户开户银行出具的资信证明；供应商成立不到1年的，可提供企业任意时段财务报表；供应商为公益类事业单位或者自然人的无需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提供工程勘察综合资质甲级或工程勘察(岩土工程)专业资质乙级及以上;提供工程设计综合资质甲级或工程设计公路行业甲级或工程设计公路行业公路专业甲级资质。</w:t>
            </w:r>
          </w:p>
        </w:tc>
        <w:tc>
          <w:tcPr>
            <w:tcW w:type="dxa" w:w="1661"/>
          </w:tcPr>
          <w:p>
            <w:pPr>
              <w:pStyle w:val="null3"/>
            </w:pPr>
            <w:r>
              <w:rPr>
                <w:rFonts w:ascii="仿宋_GB2312" w:hAnsi="仿宋_GB2312" w:cs="仿宋_GB2312" w:eastAsia="仿宋_GB2312"/>
              </w:rPr>
              <w:t>供应商应提交的资格证明材料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提供工程勘察综合资质甲级或工程勘察(岩土工程)专业资质乙级及以上;提供工程设计综合资质甲级或工程设计公路行业甲级或工程设计公路行业公路专业甲级资质。</w:t>
            </w:r>
          </w:p>
        </w:tc>
        <w:tc>
          <w:tcPr>
            <w:tcW w:type="dxa" w:w="1661"/>
          </w:tcPr>
          <w:p>
            <w:pPr>
              <w:pStyle w:val="null3"/>
            </w:pPr>
            <w:r>
              <w:rPr>
                <w:rFonts w:ascii="仿宋_GB2312" w:hAnsi="仿宋_GB2312" w:cs="仿宋_GB2312" w:eastAsia="仿宋_GB2312"/>
              </w:rPr>
              <w:t>供应商应提交的资格证明材料 商务应答表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响应文件封面 商务技术资料 供应商应提交的资格证明材料 中小企业声明函 残疾人福利性单位声明函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符合“投标文件格式”的规定</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商务技术资料 供应商应提交的资格证明材料 中小企业声明函 残疾人福利性单位声明函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合同签订之日起1年内</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符合“拟签订合同交本”条款中实质性要求和条件</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商务技术资料 商务应答表 服务内容及服务要求应答表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响应文件封面 商务技术资料 供应商应提交的资格证明材料 中小企业声明函 残疾人福利性单位声明函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商务技术资料 供应商应提交的资格证明材料 中小企业声明函 残疾人福利性单位声明函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合同签订之日起1年内</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符合“拟签订合同交本”条款中实质性要求和条件</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商务技术资料 商务应答表 服务内容及服务要求应答表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对本项目服务内容及要求的理解</w:t>
            </w:r>
          </w:p>
        </w:tc>
        <w:tc>
          <w:tcPr>
            <w:tcW w:type="dxa" w:w="2492"/>
          </w:tcPr>
          <w:p>
            <w:pPr>
              <w:pStyle w:val="null3"/>
            </w:pPr>
            <w:r>
              <w:rPr>
                <w:rFonts w:ascii="仿宋_GB2312" w:hAnsi="仿宋_GB2312" w:cs="仿宋_GB2312" w:eastAsia="仿宋_GB2312"/>
              </w:rPr>
              <w:t>一、评审内容：根据供应商响应文件中的对本项目服务内容及要求的理解进行综合评价。 二、评审标准： （一）完整性：内容全面详尽，对各方面有详细的描述和说明。 （二）合理性：项目切合实际，进度控制合理、思路清晰，科学合理。 （三）针对性：紧扣项目特点和采购需求，针对性强，整体性高。 三、赋分标准（满分3分） 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供应商根据采购需求提供详细的技术咨询服务方案，对技术咨询工作理解透彻、分析全面、安排合理，包含但不限于（一）符合有关技术标准、规范要求的设计和施工方案；（二）保障公路、公路附属设施质量和安全的技术评价报告； （三）处置施工险情和意外事故的应急方案。 二、评审标准： （一）完整性：内容全面详尽，对各方面有详细的描述和说明； （二）合理性：项目切合实际，进度控制合理、思路清晰，科学合理； （三）可实施性：切合本项目实际情况，分析清晰、可实施。 三、赋分标准（满分18分） （一）符合有关技术标准、规范要求的设计和施工方案，此评审满分6分，每完全满足一项评审标准得2分，针对每条评审标准，如存在不合理的方面扣0.5分，针对每条评审标准，内容与本项目无关或未提供得0分； （二）保障公路、公路附属设施质量和安全的技术评价报告，此评审满分6分，每完全满足一项评审标准得2分，针对每条评审标准，如存在不合理的方面扣0.5分，针对每条评审标准，内容与本项目无关或未提供得0分； （三）处置施工险情和意外事故的应急方案，此评审满分6分，每完全满足一项评审标准得2分，针对每条评审标准，如存在不合理的方面扣0.5分，针对每条评审标准，内容与本项目无关或未提供得0分。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项目重点及难点分析</w:t>
            </w:r>
          </w:p>
        </w:tc>
        <w:tc>
          <w:tcPr>
            <w:tcW w:type="dxa" w:w="2492"/>
          </w:tcPr>
          <w:p>
            <w:pPr>
              <w:pStyle w:val="null3"/>
            </w:pPr>
            <w:r>
              <w:rPr>
                <w:rFonts w:ascii="仿宋_GB2312" w:hAnsi="仿宋_GB2312" w:cs="仿宋_GB2312" w:eastAsia="仿宋_GB2312"/>
              </w:rPr>
              <w:t>一、评审内容：供应商应充分结合项目特点对本项目的重点、难点进行分析，并且能够提出解决对策。包含但不限于（一）项目特点、重点及难点分析；（二）重点及难点应对措施。 二、评审标准： （一）合理性：分析内容全面合理，对各方面有详细的描述和说明； （二）可实施性：切合本项目实际情况，分析清晰、可实施； （三）针对性：分析紧扣项目特点和采购需求，针对性强，整体性高。 三、赋分标准（满分9分） （一）项目特点、重点及难点分析，此评审满分4.5分，每完全满足一项评审标准得1.5分，针对每条评审标准，如存在不合理的方面扣0.3分，针对每条评审标准，内容与本项目无关或未提供得0分； （二）重点及难点应对措施，此评审满分4.5分，每完全满足一项评审标准得1.5分，针对每条评审标准，如存在不合理的方面扣0.3分，针对每条评审标准，内容与本项目无关或未提供得0分。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工作进度计划及进度保证措施</w:t>
            </w:r>
          </w:p>
        </w:tc>
        <w:tc>
          <w:tcPr>
            <w:tcW w:type="dxa" w:w="2492"/>
          </w:tcPr>
          <w:p>
            <w:pPr>
              <w:pStyle w:val="null3"/>
            </w:pPr>
            <w:r>
              <w:rPr>
                <w:rFonts w:ascii="仿宋_GB2312" w:hAnsi="仿宋_GB2312" w:cs="仿宋_GB2312" w:eastAsia="仿宋_GB2312"/>
              </w:rPr>
              <w:t>一、评审内容：根据供应商响应文件中的针对本项目工作任务划分及时间把控，进度计划及进度保证措施进行综合评价，包含但不限于（一）工作进度计划；（二）进度保证措施。 二、评审标准： （一）合理性：项目切合实际，进度控制合理、思路清晰，科学合理； （二）可实施性：切合本项目实际情况，计划及措施清晰、可实施； （三）针对性：进度计划紧扣项目特点和采购需求，针对性强，整体性高。 三、赋分标准（满分9分） （一）工作进度计划及关键节点时间把控，此评审满分4.5分，每完全满足一项评审标准得1.5分，针对每条评审标准，如存在不合理的方面扣0.3分，针对每条评审标准，内容与本项目无关或未提供得0分； （二）进度保证措施，此评审满分4.5分，每完全满足一项评审标准得1.5分，针对每条评审标准，如存在不合理的方面扣0.3分，针对每条评审标准，内容与本项目无关或未提供得0分。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质量及安全保证措施</w:t>
            </w:r>
          </w:p>
        </w:tc>
        <w:tc>
          <w:tcPr>
            <w:tcW w:type="dxa" w:w="2492"/>
          </w:tcPr>
          <w:p>
            <w:pPr>
              <w:pStyle w:val="null3"/>
            </w:pPr>
            <w:r>
              <w:rPr>
                <w:rFonts w:ascii="仿宋_GB2312" w:hAnsi="仿宋_GB2312" w:cs="仿宋_GB2312" w:eastAsia="仿宋_GB2312"/>
              </w:rPr>
              <w:t>一、评审内容：供应商根据本项目服务内容及要求编制质量及安全保障措施：有规范的、合理的服务流程及安全管理制度，对项目执行过程中的服务质量、技术保证、安全保证、沟通途径有明确说明。供应商切合实际，包含但不限于（一）质量保证措施；（二）安全保证措施。 二、评审标准： （一）完整性：内容全面，对评审内容中的各项要求有详细描述； （二）可实施性：切合本项目实际情况，实施步骤清晰、合理，可实施； （三）针对性：措施能够紧扣项目实际情况，内容科学合理。 三、赋分标准（满分12分） （一）质量保证措施，此评审项满分6分，每完全满足一条评审标准得2分；针对每条评审标准，如存在不合理的方面，扣0.5分；针对每条评审标准，内容与本项目无关或未提供的，得0分； （二）安全保证措施，此评审项满分6分，每完全满足一条评审标准得2分；针对每条评审标准，如存在不合理的方面，扣0.5分；针对每条评审标准，内容与本项目无关或未提供的，得0分。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服务保障体系</w:t>
            </w:r>
          </w:p>
        </w:tc>
        <w:tc>
          <w:tcPr>
            <w:tcW w:type="dxa" w:w="2492"/>
          </w:tcPr>
          <w:p>
            <w:pPr>
              <w:pStyle w:val="null3"/>
            </w:pPr>
            <w:r>
              <w:rPr>
                <w:rFonts w:ascii="仿宋_GB2312" w:hAnsi="仿宋_GB2312" w:cs="仿宋_GB2312" w:eastAsia="仿宋_GB2312"/>
              </w:rPr>
              <w:t>一、评审内容：根据供应商提供的针对本项目的服务保障体系进行评价。 二、评审标准： （一）完整性：内容全面，与采购人配合度高，对评审内容中的各项要求有详细描述； （二）可实施性：切合本项目实际情况，实施步骤清晰、合理； （三）针对性：内容能够紧扣项目实际情况，科学合理。 三、赋分标准（满分6分） 此评审项满分6分，每完全满足一条评审标准得2分；针对每条评审标准，如存在不合理的方面，扣0.5分；针对每条评审标准，内容与本项目无关或未提供的，得0分。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拟派本项目团队（项目负责人）</w:t>
            </w:r>
          </w:p>
        </w:tc>
        <w:tc>
          <w:tcPr>
            <w:tcW w:type="dxa" w:w="2492"/>
          </w:tcPr>
          <w:p>
            <w:pPr>
              <w:pStyle w:val="null3"/>
            </w:pPr>
            <w:r>
              <w:rPr>
                <w:rFonts w:ascii="仿宋_GB2312" w:hAnsi="仿宋_GB2312" w:cs="仿宋_GB2312" w:eastAsia="仿宋_GB2312"/>
              </w:rPr>
              <w:t>一、项目负责人具有公路工程相关专业高级及以上职称，得3分，其他不得分； 二、每提供一个2020年1月1日至今担任过类似项目负责人的业绩得1分，最高得4分。 本项满分7分。 注：提供①人员证书复印件或扫描件②业绩证明资料（以任命书或合同或其他证明材料为准，应体现项目负责人姓名）并加盖公章。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拟派本项目团队（项目组成员）</w:t>
            </w:r>
          </w:p>
        </w:tc>
        <w:tc>
          <w:tcPr>
            <w:tcW w:type="dxa" w:w="2492"/>
          </w:tcPr>
          <w:p>
            <w:pPr>
              <w:pStyle w:val="null3"/>
            </w:pPr>
            <w:r>
              <w:rPr>
                <w:rFonts w:ascii="仿宋_GB2312" w:hAnsi="仿宋_GB2312" w:cs="仿宋_GB2312" w:eastAsia="仿宋_GB2312"/>
              </w:rPr>
              <w:t>一、除项目负责人外，拟派组成员每具有1名公路工程相关专业高级及以上职称得1分，本项目最高得4分； 二、除项目负责人外，以上人员每有1人具有注册土木工程师（道路工程）证书得1分，本项最高得4分。 注：提供人员证书复印件或扫描件并加盖公章。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一、评审内容：根据供应商提供的服务承诺内容进行评价，包括对服务期限、质量、人员到位情况、后期服务等方面。 二、评审标准： （一）完整性：内容全面详尽，有详细的描述和说明； （二）合理性：项目切合实际，思路清晰，科学合理； （三）针对性：内容紧扣项目特点和采购需求，针对性强，整体性高。 三、赋分标准（满分3分） 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供应商每提供一个2020年1月1日（以合同签订时间为准）至今同类项目业绩得2分，满分10分。 注：提供合同复印件并加盖公章。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满足磋商文件要求且磋商价格最低的磋商报价为评标基准价，其价格分为满分。最低磋商报价不是中标的唯一依据。因落实政府采购政策进行价格调整的，以调整后的价格计算评标基准价和磋商报价，价格分按照下列公式计算。磋商报价得分=（评标基准价／最后磋商报价）×100×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对本项目服务内容及要求的理解</w:t>
            </w:r>
          </w:p>
        </w:tc>
        <w:tc>
          <w:tcPr>
            <w:tcW w:type="dxa" w:w="2492"/>
          </w:tcPr>
          <w:p>
            <w:pPr>
              <w:pStyle w:val="null3"/>
            </w:pPr>
            <w:r>
              <w:rPr>
                <w:rFonts w:ascii="仿宋_GB2312" w:hAnsi="仿宋_GB2312" w:cs="仿宋_GB2312" w:eastAsia="仿宋_GB2312"/>
              </w:rPr>
              <w:t>一、评审内容：根据供应商响应文件中的对本项目服务内容及要求的理解进行综合评价。 二、评审标准： （一）完整性：内容全面详尽，对各方面有详细的描述和说明。 （二）合理性：项目切合实际，进度控制合理、思路清晰，科学合理。 （三）针对性：紧扣项目特点和采购需求，针对性强，整体性高。 三、赋分标准（满分3分） 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供应商根据采购需求提供详细的技术咨询服务方案，对技术咨询工作理解透彻、分析全面、安排合理，包含但不限于（一）符合有关技术标准、规范要求的设计和施工方案；（二）保障公路、公路附属设施质量和安全的技术评价报告； （三）处置施工险情和意外事故的应急方案；（四）超限检测站审查方案。 二、评审标准： （一）完整性：内容全面详尽，对各方面有详细的描述和说明； （二）合理性：项目切合实际，进度控制合理、思路清晰，科学合理； （三）可实施性：切合本项目实际情况，分析清晰、可实施。 三、赋分标准（满分18分） （一）符合有关技术标准、规范要求的设计和施工方案，此评审满分4.5分，每完全满足一项评审标准得1.5分，针对每条评审标准，如存在不合理的方面扣0.3分，针对每条评审标准，内容与本项目无关或未提供得0分； （二）保障公路、公路附属设施质量和安全的技术评价报告，此评审满分4.5分，每完全满足一项评审标准得1.5分，针对每条评审标准，如存在不合理的方面扣0.3分，针对每条评审标准，内容与本项目无关或未提供得0分； （三）处置施工险情和意外事故的应急方案，此评审满分4.5分，每完全满足一项评审标准得1.5分，针对每条评审标准，如存在不合理的方面扣0.3分，针对每条评审标准，内容与本项目无关或未提供得0分； （四）超限检测站审查方案，此评审满分4.5分，每完全满足一项评审标准得1.5分，针对每条评审标准，如存在不合理的方面扣0.3分，针对每条评审标准，内容与本项目无关或未提供得0分。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项目重点及难点分析</w:t>
            </w:r>
          </w:p>
        </w:tc>
        <w:tc>
          <w:tcPr>
            <w:tcW w:type="dxa" w:w="2492"/>
          </w:tcPr>
          <w:p>
            <w:pPr>
              <w:pStyle w:val="null3"/>
            </w:pPr>
            <w:r>
              <w:rPr>
                <w:rFonts w:ascii="仿宋_GB2312" w:hAnsi="仿宋_GB2312" w:cs="仿宋_GB2312" w:eastAsia="仿宋_GB2312"/>
              </w:rPr>
              <w:t>一、评审内容：供应商应充分结合项目特点对本项目的重点、难点进行分析，并且能够提出解决对策。包含但不限于（一）项目特点、重点及难点分析；（二）重点及难点应对措施。 二、评审标准： （一）合理性：分析内容全面合理，对各方面有详细的描述和说明； （二）可实施性：切合本项目实际情况，分析清晰、可实施； （三）针对性：分析紧扣项目特点和采购需求，针对性强，整体性高。 三、赋分标准（满分9分） （一）项目特点、重点及难点分析，此评审满分4.5分，每完全满足一项评审标准得1.5分，针对每条评审标准，如存在不合理的方面扣0.3分，针对每条评审标准，内容与本项目无关或未提供得0分； （二）重点及难点应对措施，此评审满分4.5分，每完全满足一项评审标准得1.5分，针对每条评审标准，如存在不合理的方面扣0.3分，针对每条评审标准，内容与本项目无关或未提供得0分。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工作进度计划及进度保证措施</w:t>
            </w:r>
          </w:p>
        </w:tc>
        <w:tc>
          <w:tcPr>
            <w:tcW w:type="dxa" w:w="2492"/>
          </w:tcPr>
          <w:p>
            <w:pPr>
              <w:pStyle w:val="null3"/>
            </w:pPr>
            <w:r>
              <w:rPr>
                <w:rFonts w:ascii="仿宋_GB2312" w:hAnsi="仿宋_GB2312" w:cs="仿宋_GB2312" w:eastAsia="仿宋_GB2312"/>
              </w:rPr>
              <w:t>一、评审内容：根据供应商响应文件中的针对本项目工作任务划分及时间把控，进度计划及进度保证措施进行综合评价，包含但不限于（一）工作进度计划；（二）进度保证措施。 二、评审标准： （一）合理性：项目切合实际，进度控制合理、思路清晰，科学合理； （二）可实施性：切合本项目实际情况，计划及措施清晰、可实施； （三）针对性：进度计划紧扣项目特点和采购需求，针对性强，整体性高。 三、赋分标准（满分9分） （一）工作进度计划及关键节点时间把控，此评审满分4.5分，每完全满足一项评审标准得1.5分，针对每条评审标准，如存在不合理的方面扣0.3分，针对每条评审标准，内容与本项目无关或未提供得0分； （二）进度保证措施，此评审满分4.5分，每完全满足一项评审标准得1.5分，针对每条评审标准，如存在不合理的方面扣0.3分，针对每条评审标准，内容与本项目无关或未提供得0分。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质量及安全保证措施</w:t>
            </w:r>
          </w:p>
        </w:tc>
        <w:tc>
          <w:tcPr>
            <w:tcW w:type="dxa" w:w="2492"/>
          </w:tcPr>
          <w:p>
            <w:pPr>
              <w:pStyle w:val="null3"/>
            </w:pPr>
            <w:r>
              <w:rPr>
                <w:rFonts w:ascii="仿宋_GB2312" w:hAnsi="仿宋_GB2312" w:cs="仿宋_GB2312" w:eastAsia="仿宋_GB2312"/>
              </w:rPr>
              <w:t>一、评审内容：供应商根据本项目服务内容及要求编制质量及安全保障措施：有规范的、合理的服务流程及安全管理制度，对项目执行过程中的服务质量、技术保证、安全保证、沟通途径有明确说明。供应商切合实际，包含但不限于（一）质量保证措施；（二）安全保证措施。 二、评审标准： （一）完整性：内容全面，对评审内容中的各项要求有详细描述； （二）可实施性：切合本项目实际情况，实施步骤清晰、合理，可实施； （三）针对性：措施能够紧扣项目实际情况，内容科学合理。 三、赋分标准（满分12分） （一）质量保证措施，此评审项满分6分，每完全满足一条评审标准得2分；针对每条评审标准，如存在不合理的方面，扣0.5分；针对每条评审标准，内容与本项目无关或未提供的，得0分； （二）安全保证措施，此评审项满分6分，每完全满足一条评审标准得2分；针对每条评审标准，如存在不合理的方面，扣0.5分；针对每条评审标准，内容与本项目无关或未提供的，得0分。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服务保障体系</w:t>
            </w:r>
          </w:p>
        </w:tc>
        <w:tc>
          <w:tcPr>
            <w:tcW w:type="dxa" w:w="2492"/>
          </w:tcPr>
          <w:p>
            <w:pPr>
              <w:pStyle w:val="null3"/>
            </w:pPr>
            <w:r>
              <w:rPr>
                <w:rFonts w:ascii="仿宋_GB2312" w:hAnsi="仿宋_GB2312" w:cs="仿宋_GB2312" w:eastAsia="仿宋_GB2312"/>
              </w:rPr>
              <w:t>一、评审内容：根据供应商提供的针对本项目的服务保障体系进行评价。 二、评审标准： （一）完整性：内容全面，与采购人配合度高，对评审内容中的各项要求有详细描述； （二）可实施性：切合本项目实际情况，实施步骤清晰、合理； （三）针对性：内容能够紧扣项目实际情况，科学合理。 三、赋分标准（满分6分） 此评审项满分6分，每完全满足一条评审标准得2分；针对每条评审标准，如存在不合理的方面，扣0.5分；针对每条评审标准，内容与本项目无关或未提供的，得0分。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拟派本项目团队（项目负责人）</w:t>
            </w:r>
          </w:p>
        </w:tc>
        <w:tc>
          <w:tcPr>
            <w:tcW w:type="dxa" w:w="2492"/>
          </w:tcPr>
          <w:p>
            <w:pPr>
              <w:pStyle w:val="null3"/>
            </w:pPr>
            <w:r>
              <w:rPr>
                <w:rFonts w:ascii="仿宋_GB2312" w:hAnsi="仿宋_GB2312" w:cs="仿宋_GB2312" w:eastAsia="仿宋_GB2312"/>
              </w:rPr>
              <w:t>一、项目负责人具有公路工程相关专业高级及以上职称，得3分，其他不得分； 二、每提供一个2020年1月1日至今担任过类似项目负责人的业绩得1分，最高得4分。 本项满分7分。 注：提供①人员证书复印件或扫描件②业绩证明资料（以任命书或合同或其他证明材料为准，应体现项目负责人姓名）并加盖公章。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拟派本项目团队（项目组成员）</w:t>
            </w:r>
          </w:p>
        </w:tc>
        <w:tc>
          <w:tcPr>
            <w:tcW w:type="dxa" w:w="2492"/>
          </w:tcPr>
          <w:p>
            <w:pPr>
              <w:pStyle w:val="null3"/>
            </w:pPr>
            <w:r>
              <w:rPr>
                <w:rFonts w:ascii="仿宋_GB2312" w:hAnsi="仿宋_GB2312" w:cs="仿宋_GB2312" w:eastAsia="仿宋_GB2312"/>
              </w:rPr>
              <w:t>一、除项目负责人外，拟派组成员每具有1名公路工程相关专业高级及以上职称得1分，本项目最高得4分； 二、除项目负责人外，以上人员每有1人具有注册土木工程师（道路工程）证书得1分，本项最高得4分。 注：提供人员证书复印件或扫描件并加盖公章。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一、评审内容：根据供应商提供的服务承诺内容进行评价，包括对服务期限、质量、人员到位情况、后期服务等方面。 二、评审标准： （一）完整性：内容全面详尽，有详细的描述和说明； （二）合理性：项目切合实际，思路清晰，科学合理； （三）针对性：内容紧扣项目特点和采购需求，针对性强，整体性高。 三、赋分标准（满分3分） 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供应商每提供一个2020年1月1日（以合同签订时间为准）至今同类项目业绩得2分，满分10分。 注：提供合同复印件并加盖公章。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满足磋商文件要求且磋商价格最低的磋商报价为评标基准价，其价格分为满分。最低磋商报价不是中标的唯一依据。因落实政府采购政策进行价格调整的，以调整后的价格计算评标基准价和磋商报价，价格分按照下列公式计算。磋商报价得分=（评标基准价／最后磋商报价）×100×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详见附件：商务技术资料</w:t>
      </w:r>
    </w:p>
    <w:p>
      <w:pPr>
        <w:pStyle w:val="null3"/>
        <w:ind w:firstLine="960"/>
      </w:pPr>
      <w:r>
        <w:rPr>
          <w:rFonts w:ascii="仿宋_GB2312" w:hAnsi="仿宋_GB2312" w:cs="仿宋_GB2312" w:eastAsia="仿宋_GB2312"/>
        </w:rPr>
        <w:t>详见附件：供应商应提交的资格证明材料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详见附件：商务技术资料</w:t>
      </w:r>
    </w:p>
    <w:p>
      <w:pPr>
        <w:pStyle w:val="null3"/>
        <w:ind w:firstLine="960"/>
      </w:pPr>
      <w:r>
        <w:rPr>
          <w:rFonts w:ascii="仿宋_GB2312" w:hAnsi="仿宋_GB2312" w:cs="仿宋_GB2312" w:eastAsia="仿宋_GB2312"/>
        </w:rPr>
        <w:t>详见附件：供应商应提交的资格证明材料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