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A22B3">
      <w:pPr>
        <w:spacing w:beforeLines="50" w:afterLines="50"/>
        <w:ind w:right="-178" w:rightChars="-85"/>
        <w:jc w:val="center"/>
        <w:rPr>
          <w:rFonts w:ascii="华文中宋" w:hAnsi="华文中宋" w:eastAsia="华文中宋" w:cs="华文中宋"/>
          <w:b/>
          <w:sz w:val="28"/>
          <w:szCs w:val="28"/>
        </w:rPr>
      </w:pPr>
      <w:r>
        <w:rPr>
          <w:rFonts w:hint="eastAsia" w:ascii="华文中宋" w:hAnsi="华文中宋" w:eastAsia="华文中宋" w:cs="华文中宋"/>
          <w:b/>
          <w:sz w:val="28"/>
          <w:szCs w:val="28"/>
        </w:rPr>
        <w:t>拟签订的合同条款文本</w:t>
      </w:r>
    </w:p>
    <w:p w14:paraId="6EE6C6F9">
      <w:pPr>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甲方委托乙方承担草堂校区规划实施研究（含子午书院、教学北区地块实施详细规划编制）的技术服务工作，本着平等互利的原则，经双方协商一致，签订本合同，共同遵照执行。</w:t>
      </w:r>
    </w:p>
    <w:p w14:paraId="493F96C3">
      <w:pPr>
        <w:adjustRightInd w:val="0"/>
        <w:snapToGrid w:val="0"/>
        <w:spacing w:line="500" w:lineRule="exact"/>
        <w:ind w:firstLine="480" w:firstLineChars="200"/>
        <w:rPr>
          <w:rFonts w:ascii="华文中宋" w:hAnsi="华文中宋" w:eastAsia="华文中宋" w:cs="华文中宋"/>
          <w:b/>
          <w:bCs/>
          <w:sz w:val="24"/>
          <w:szCs w:val="24"/>
        </w:rPr>
      </w:pPr>
      <w:r>
        <w:rPr>
          <w:rFonts w:hint="eastAsia" w:ascii="华文中宋" w:hAnsi="华文中宋" w:eastAsia="华文中宋" w:cs="华文中宋"/>
          <w:b/>
          <w:bCs/>
          <w:sz w:val="24"/>
          <w:szCs w:val="24"/>
        </w:rPr>
        <w:t xml:space="preserve">第一条  </w:t>
      </w:r>
      <w:r>
        <w:rPr>
          <w:rFonts w:hint="eastAsia" w:ascii="华文中宋" w:hAnsi="华文中宋" w:eastAsia="华文中宋" w:cs="华文中宋"/>
          <w:b/>
          <w:bCs/>
          <w:kern w:val="0"/>
          <w:sz w:val="24"/>
          <w:szCs w:val="24"/>
        </w:rPr>
        <w:t>技术服务依据</w:t>
      </w:r>
    </w:p>
    <w:p w14:paraId="3849F9AC">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1.1 《中华人民共和国民法典》、《中华人民共和国城乡规划法》、《建设工程勘察设计管理条例》、《西安市城乡规划条例》；</w:t>
      </w:r>
    </w:p>
    <w:p w14:paraId="5F0DB042">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1.2  国家及地方有关规划、建设工程勘察设计管理法规和规章等；</w:t>
      </w:r>
    </w:p>
    <w:p w14:paraId="1C12CF83">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1.3  其它相关法规、规范。凡本合同未做具体规定的，应按国家现行的有关法规、规范执行。</w:t>
      </w:r>
    </w:p>
    <w:p w14:paraId="753C7C63">
      <w:pPr>
        <w:pStyle w:val="24"/>
        <w:snapToGrid w:val="0"/>
        <w:spacing w:line="500" w:lineRule="exact"/>
        <w:ind w:firstLineChars="200"/>
        <w:jc w:val="both"/>
        <w:rPr>
          <w:rFonts w:ascii="华文中宋" w:hAnsi="华文中宋" w:eastAsia="华文中宋" w:cs="华文中宋"/>
          <w:kern w:val="2"/>
          <w:sz w:val="24"/>
          <w:szCs w:val="24"/>
        </w:rPr>
      </w:pPr>
      <w:r>
        <w:rPr>
          <w:rFonts w:hint="eastAsia" w:ascii="华文中宋" w:hAnsi="华文中宋" w:eastAsia="华文中宋" w:cs="华文中宋"/>
          <w:b/>
          <w:bCs/>
          <w:sz w:val="24"/>
          <w:szCs w:val="24"/>
        </w:rPr>
        <w:t>第二条  委托项目内容及范围</w:t>
      </w:r>
    </w:p>
    <w:p w14:paraId="419B0DA5">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2.1  项目名称：西安建筑科技大学草堂校区规划实施研究（含子午书院、教学北区地块实施详细规划编制）；</w:t>
      </w:r>
    </w:p>
    <w:p w14:paraId="089EE1EF">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2.2  项目地点：</w:t>
      </w:r>
      <w:bookmarkStart w:id="0" w:name="_Hlk70269122"/>
      <w:r>
        <w:rPr>
          <w:rFonts w:hint="eastAsia" w:ascii="华文中宋" w:hAnsi="华文中宋" w:eastAsia="华文中宋" w:cs="华文中宋"/>
          <w:sz w:val="24"/>
          <w:szCs w:val="24"/>
        </w:rPr>
        <w:t>西安建筑科技大学草堂校区；</w:t>
      </w:r>
    </w:p>
    <w:bookmarkEnd w:id="0"/>
    <w:p w14:paraId="2068E60A">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2.3  项目规模：约150公顷；</w:t>
      </w:r>
    </w:p>
    <w:p w14:paraId="7D6197E6">
      <w:pPr>
        <w:spacing w:line="500" w:lineRule="exact"/>
        <w:ind w:firstLine="480" w:firstLineChars="200"/>
        <w:jc w:val="left"/>
        <w:rPr>
          <w:rFonts w:ascii="华文中宋" w:hAnsi="华文中宋" w:eastAsia="华文中宋" w:cs="华文中宋"/>
          <w:sz w:val="24"/>
          <w:szCs w:val="24"/>
        </w:rPr>
      </w:pPr>
      <w:r>
        <w:rPr>
          <w:rFonts w:hint="eastAsia" w:ascii="华文中宋" w:hAnsi="华文中宋" w:eastAsia="华文中宋" w:cs="华文中宋"/>
          <w:sz w:val="24"/>
          <w:szCs w:val="24"/>
        </w:rPr>
        <w:t>2.4  委托内容及标准：</w:t>
      </w:r>
      <w:bookmarkStart w:id="1" w:name="OLE_LINK16"/>
      <w:bookmarkStart w:id="2" w:name="OLE_LINK17"/>
      <w:bookmarkStart w:id="3" w:name="OLE_LINK29"/>
      <w:bookmarkStart w:id="4" w:name="OLE_LINK30"/>
      <w:r>
        <w:rPr>
          <w:rFonts w:hint="eastAsia" w:ascii="华文中宋" w:hAnsi="华文中宋" w:eastAsia="华文中宋" w:cs="华文中宋"/>
          <w:sz w:val="24"/>
          <w:szCs w:val="24"/>
          <w:u w:val="single"/>
        </w:rPr>
        <w:t>（1）编制草堂校区规划实施研究文本，确定子午书院、教学北区建设指标，满足拟建项目报规报建要求；给定发展预留板块指标原则。（2）背景及上位规划梳理、现状分析、规划指标分析、城市设计分析。（3）明确地块边界，确定地块用地性质、容积率、建筑密度、绿地率、建筑高度等技术指标，市政基础设施和公共服务配套设施的用地规划、范围，以及建筑形态、公共空间等城市设计控制要求。直至取得指标批准文件</w:t>
      </w:r>
      <w:bookmarkEnd w:id="1"/>
      <w:bookmarkEnd w:id="2"/>
      <w:r>
        <w:rPr>
          <w:rFonts w:hint="eastAsia" w:ascii="华文中宋" w:hAnsi="华文中宋" w:eastAsia="华文中宋" w:cs="华文中宋"/>
          <w:sz w:val="24"/>
          <w:szCs w:val="24"/>
          <w:u w:val="single"/>
        </w:rPr>
        <w:t>。</w:t>
      </w:r>
      <w:bookmarkEnd w:id="3"/>
      <w:bookmarkEnd w:id="4"/>
    </w:p>
    <w:p w14:paraId="14AAA6A3">
      <w:pPr>
        <w:adjustRightInd w:val="0"/>
        <w:snapToGrid w:val="0"/>
        <w:spacing w:line="500" w:lineRule="exact"/>
        <w:ind w:firstLine="480" w:firstLineChars="200"/>
        <w:rPr>
          <w:rFonts w:ascii="华文中宋" w:hAnsi="华文中宋" w:eastAsia="华文中宋" w:cs="华文中宋"/>
          <w:b/>
          <w:bCs/>
          <w:sz w:val="24"/>
          <w:szCs w:val="24"/>
        </w:rPr>
      </w:pPr>
      <w:r>
        <w:rPr>
          <w:rFonts w:hint="eastAsia" w:ascii="华文中宋" w:hAnsi="华文中宋" w:eastAsia="华文中宋" w:cs="华文中宋"/>
          <w:b/>
          <w:bCs/>
          <w:sz w:val="24"/>
          <w:szCs w:val="24"/>
        </w:rPr>
        <w:t>第三条 甲方提交的有关资料及文件：</w:t>
      </w:r>
    </w:p>
    <w:p w14:paraId="04A92EA5">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3.1  规划项目所需的现状总平面图及用地坐标等相关资料。</w:t>
      </w:r>
    </w:p>
    <w:p w14:paraId="2CC9DC86">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3.2  校园规划相关资料。</w:t>
      </w:r>
    </w:p>
    <w:p w14:paraId="48E2DC50">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3.3  与项目研究有关的其它资料。</w:t>
      </w:r>
    </w:p>
    <w:p w14:paraId="3342E539">
      <w:pPr>
        <w:tabs>
          <w:tab w:val="left" w:pos="1440"/>
          <w:tab w:val="left" w:pos="1620"/>
        </w:tabs>
        <w:spacing w:line="500" w:lineRule="exact"/>
        <w:ind w:firstLine="480" w:firstLineChars="200"/>
        <w:rPr>
          <w:rFonts w:ascii="华文中宋" w:hAnsi="华文中宋" w:eastAsia="华文中宋" w:cs="华文中宋"/>
          <w:b/>
          <w:bCs/>
          <w:sz w:val="24"/>
          <w:szCs w:val="24"/>
        </w:rPr>
      </w:pPr>
      <w:r>
        <w:rPr>
          <w:rFonts w:hint="eastAsia" w:ascii="华文中宋" w:hAnsi="华文中宋" w:eastAsia="华文中宋" w:cs="华文中宋"/>
          <w:b/>
          <w:bCs/>
          <w:sz w:val="24"/>
          <w:szCs w:val="24"/>
        </w:rPr>
        <w:t xml:space="preserve">   第四条 乙方提交的设计成果及要求</w:t>
      </w:r>
    </w:p>
    <w:p w14:paraId="4A372690">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 xml:space="preserve">4.1成果内容：草堂校区规划实施研究文本册及子午书院、教学北区地块实施详细规划（含附图、基础资料汇编等），给定发展预留板块指标原则。                                                 </w:t>
      </w:r>
    </w:p>
    <w:p w14:paraId="72F44225">
      <w:pPr>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sz w:val="24"/>
          <w:szCs w:val="24"/>
        </w:rPr>
        <w:t>4.2成果要求：</w:t>
      </w:r>
      <w:r>
        <w:rPr>
          <w:rFonts w:hint="eastAsia" w:ascii="华文中宋" w:hAnsi="华文中宋" w:eastAsia="华文中宋" w:cs="华文中宋"/>
          <w:kern w:val="0"/>
          <w:sz w:val="24"/>
          <w:szCs w:val="24"/>
        </w:rPr>
        <w:t>该项目通过专家评审及政府审批的实施详细规划</w:t>
      </w:r>
      <w:r>
        <w:rPr>
          <w:rFonts w:hint="eastAsia" w:ascii="华文中宋" w:hAnsi="华文中宋" w:eastAsia="华文中宋" w:cs="华文中宋"/>
          <w:sz w:val="24"/>
          <w:szCs w:val="24"/>
        </w:rPr>
        <w:t>（含附图、基础资料汇编等）</w:t>
      </w:r>
      <w:r>
        <w:rPr>
          <w:rFonts w:hint="eastAsia" w:ascii="华文中宋" w:hAnsi="华文中宋" w:eastAsia="华文中宋" w:cs="华文中宋"/>
          <w:kern w:val="0"/>
          <w:sz w:val="24"/>
          <w:szCs w:val="24"/>
        </w:rPr>
        <w:t>一式捌份、汇报文件及成果电子文件一份（U盘）。</w:t>
      </w:r>
    </w:p>
    <w:p w14:paraId="47E841A1">
      <w:pPr>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4.3进度要求：本项目服务周期自合同签订之日起至提供该项目通过专家评审及政府审批的成果文件之日结束，具体以发包人通知开始工作时间为准。</w:t>
      </w:r>
    </w:p>
    <w:p w14:paraId="480A7C67">
      <w:pPr>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具体进度如下：</w:t>
      </w:r>
    </w:p>
    <w:tbl>
      <w:tblPr>
        <w:tblStyle w:val="17"/>
        <w:tblW w:w="89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4"/>
        <w:gridCol w:w="1888"/>
        <w:gridCol w:w="4723"/>
        <w:gridCol w:w="1662"/>
      </w:tblGrid>
      <w:tr w14:paraId="6A7D9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jc w:val="center"/>
        </w:trPr>
        <w:tc>
          <w:tcPr>
            <w:tcW w:w="694" w:type="dxa"/>
            <w:vAlign w:val="center"/>
          </w:tcPr>
          <w:p w14:paraId="7086B3D5">
            <w:pPr>
              <w:autoSpaceDE w:val="0"/>
              <w:autoSpaceDN w:val="0"/>
              <w:spacing w:before="178" w:line="500" w:lineRule="exact"/>
              <w:ind w:right="112"/>
              <w:jc w:val="center"/>
              <w:rPr>
                <w:rFonts w:ascii="华文中宋" w:hAnsi="华文中宋" w:eastAsia="华文中宋" w:cs="华文中宋"/>
                <w:bCs/>
                <w:kern w:val="0"/>
                <w:sz w:val="24"/>
                <w:szCs w:val="24"/>
                <w:lang w:eastAsia="en-US"/>
              </w:rPr>
            </w:pPr>
            <w:r>
              <w:rPr>
                <w:rFonts w:hint="eastAsia" w:ascii="华文中宋" w:hAnsi="华文中宋" w:eastAsia="华文中宋" w:cs="华文中宋"/>
                <w:bCs/>
                <w:kern w:val="0"/>
                <w:sz w:val="24"/>
                <w:szCs w:val="24"/>
                <w:lang w:eastAsia="en-US"/>
              </w:rPr>
              <w:t>序号</w:t>
            </w:r>
          </w:p>
        </w:tc>
        <w:tc>
          <w:tcPr>
            <w:tcW w:w="1888" w:type="dxa"/>
            <w:vAlign w:val="center"/>
          </w:tcPr>
          <w:p w14:paraId="14A14AC1">
            <w:pPr>
              <w:autoSpaceDE w:val="0"/>
              <w:autoSpaceDN w:val="0"/>
              <w:spacing w:before="178" w:line="500" w:lineRule="exact"/>
              <w:ind w:left="111" w:right="101" w:firstLine="480" w:firstLineChars="200"/>
              <w:jc w:val="center"/>
              <w:rPr>
                <w:rFonts w:ascii="华文中宋" w:hAnsi="华文中宋" w:eastAsia="华文中宋" w:cs="华文中宋"/>
                <w:bCs/>
                <w:kern w:val="0"/>
                <w:sz w:val="24"/>
                <w:szCs w:val="24"/>
                <w:lang w:eastAsia="en-US"/>
              </w:rPr>
            </w:pPr>
            <w:r>
              <w:rPr>
                <w:rFonts w:hint="eastAsia" w:ascii="华文中宋" w:hAnsi="华文中宋" w:eastAsia="华文中宋" w:cs="华文中宋"/>
                <w:bCs/>
                <w:kern w:val="0"/>
                <w:sz w:val="24"/>
                <w:szCs w:val="24"/>
                <w:lang w:eastAsia="en-US"/>
              </w:rPr>
              <w:t>工作阶段</w:t>
            </w:r>
          </w:p>
        </w:tc>
        <w:tc>
          <w:tcPr>
            <w:tcW w:w="4723" w:type="dxa"/>
            <w:vAlign w:val="center"/>
          </w:tcPr>
          <w:p w14:paraId="60866C37">
            <w:pPr>
              <w:autoSpaceDE w:val="0"/>
              <w:autoSpaceDN w:val="0"/>
              <w:spacing w:before="178" w:line="500" w:lineRule="exact"/>
              <w:ind w:firstLine="480" w:firstLineChars="200"/>
              <w:jc w:val="center"/>
              <w:rPr>
                <w:rFonts w:ascii="华文中宋" w:hAnsi="华文中宋" w:eastAsia="华文中宋" w:cs="华文中宋"/>
                <w:bCs/>
                <w:kern w:val="0"/>
                <w:sz w:val="24"/>
                <w:szCs w:val="24"/>
                <w:lang w:eastAsia="en-US"/>
              </w:rPr>
            </w:pPr>
            <w:r>
              <w:rPr>
                <w:rFonts w:hint="eastAsia" w:ascii="华文中宋" w:hAnsi="华文中宋" w:eastAsia="华文中宋" w:cs="华文中宋"/>
                <w:bCs/>
                <w:kern w:val="0"/>
                <w:sz w:val="24"/>
                <w:szCs w:val="24"/>
                <w:lang w:eastAsia="en-US"/>
              </w:rPr>
              <w:t>提交内容及方式</w:t>
            </w:r>
          </w:p>
        </w:tc>
        <w:tc>
          <w:tcPr>
            <w:tcW w:w="1662" w:type="dxa"/>
            <w:vAlign w:val="center"/>
          </w:tcPr>
          <w:p w14:paraId="7529CA91">
            <w:pPr>
              <w:autoSpaceDE w:val="0"/>
              <w:autoSpaceDN w:val="0"/>
              <w:spacing w:before="22" w:line="500" w:lineRule="exact"/>
              <w:ind w:left="88" w:right="80"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计划完成</w:t>
            </w:r>
            <w:r>
              <w:rPr>
                <w:rFonts w:hint="eastAsia" w:ascii="华文中宋" w:hAnsi="华文中宋" w:eastAsia="华文中宋" w:cs="华文中宋"/>
                <w:bCs/>
                <w:kern w:val="0"/>
                <w:sz w:val="24"/>
                <w:szCs w:val="24"/>
                <w:lang w:eastAsia="en-US"/>
              </w:rPr>
              <w:t>时间</w:t>
            </w:r>
          </w:p>
        </w:tc>
      </w:tr>
      <w:tr w14:paraId="6BADB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jc w:val="center"/>
        </w:trPr>
        <w:tc>
          <w:tcPr>
            <w:tcW w:w="694" w:type="dxa"/>
            <w:vAlign w:val="center"/>
          </w:tcPr>
          <w:p w14:paraId="1AEA473E">
            <w:pPr>
              <w:autoSpaceDE w:val="0"/>
              <w:autoSpaceDN w:val="0"/>
              <w:spacing w:before="192" w:line="500" w:lineRule="exact"/>
              <w:ind w:firstLine="240" w:firstLineChars="100"/>
              <w:rPr>
                <w:rFonts w:ascii="华文中宋" w:hAnsi="华文中宋" w:eastAsia="华文中宋" w:cs="华文中宋"/>
                <w:bCs/>
                <w:kern w:val="0"/>
                <w:sz w:val="24"/>
                <w:szCs w:val="24"/>
                <w:lang w:eastAsia="en-US"/>
              </w:rPr>
            </w:pPr>
            <w:r>
              <w:rPr>
                <w:rFonts w:hint="eastAsia" w:ascii="华文中宋" w:hAnsi="华文中宋" w:eastAsia="华文中宋" w:cs="华文中宋"/>
                <w:bCs/>
                <w:kern w:val="0"/>
                <w:sz w:val="24"/>
                <w:szCs w:val="24"/>
                <w:lang w:eastAsia="en-US"/>
              </w:rPr>
              <w:t>1</w:t>
            </w:r>
          </w:p>
        </w:tc>
        <w:tc>
          <w:tcPr>
            <w:tcW w:w="1888" w:type="dxa"/>
            <w:vAlign w:val="center"/>
          </w:tcPr>
          <w:p w14:paraId="36514807">
            <w:pPr>
              <w:autoSpaceDE w:val="0"/>
              <w:autoSpaceDN w:val="0"/>
              <w:spacing w:before="1" w:line="500" w:lineRule="exact"/>
              <w:ind w:right="101"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第一阶段：准备及调研阶段</w:t>
            </w:r>
          </w:p>
        </w:tc>
        <w:tc>
          <w:tcPr>
            <w:tcW w:w="4723" w:type="dxa"/>
            <w:vAlign w:val="center"/>
          </w:tcPr>
          <w:p w14:paraId="75810821">
            <w:pPr>
              <w:autoSpaceDE w:val="0"/>
              <w:autoSpaceDN w:val="0"/>
              <w:spacing w:before="25" w:line="500" w:lineRule="exact"/>
              <w:ind w:left="71" w:right="55"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制定规划编制工作方案，现场调研、收集基础资料。对现状资料进行整理，编制初步方案。</w:t>
            </w:r>
          </w:p>
        </w:tc>
        <w:tc>
          <w:tcPr>
            <w:tcW w:w="1662" w:type="dxa"/>
            <w:vAlign w:val="center"/>
          </w:tcPr>
          <w:p w14:paraId="72A7BDC8">
            <w:pPr>
              <w:autoSpaceDE w:val="0"/>
              <w:autoSpaceDN w:val="0"/>
              <w:spacing w:line="500" w:lineRule="exact"/>
              <w:ind w:right="80"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5日</w:t>
            </w:r>
          </w:p>
        </w:tc>
      </w:tr>
      <w:tr w14:paraId="00F8B4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jc w:val="center"/>
        </w:trPr>
        <w:tc>
          <w:tcPr>
            <w:tcW w:w="694" w:type="dxa"/>
            <w:vAlign w:val="center"/>
          </w:tcPr>
          <w:p w14:paraId="3F6CD51C">
            <w:pPr>
              <w:autoSpaceDE w:val="0"/>
              <w:autoSpaceDN w:val="0"/>
              <w:spacing w:before="192" w:line="500" w:lineRule="exact"/>
              <w:ind w:firstLine="240" w:firstLineChars="100"/>
              <w:rPr>
                <w:rFonts w:ascii="华文中宋" w:hAnsi="华文中宋" w:eastAsia="华文中宋" w:cs="华文中宋"/>
                <w:bCs/>
                <w:kern w:val="0"/>
                <w:sz w:val="24"/>
                <w:szCs w:val="24"/>
                <w:lang w:eastAsia="en-US"/>
              </w:rPr>
            </w:pPr>
            <w:r>
              <w:rPr>
                <w:rFonts w:hint="eastAsia" w:ascii="华文中宋" w:hAnsi="华文中宋" w:eastAsia="华文中宋" w:cs="华文中宋"/>
                <w:bCs/>
                <w:kern w:val="0"/>
                <w:sz w:val="24"/>
                <w:szCs w:val="24"/>
                <w:lang w:eastAsia="en-US"/>
              </w:rPr>
              <w:t>2</w:t>
            </w:r>
          </w:p>
        </w:tc>
        <w:tc>
          <w:tcPr>
            <w:tcW w:w="1888" w:type="dxa"/>
            <w:vAlign w:val="center"/>
          </w:tcPr>
          <w:p w14:paraId="46EC2FE5">
            <w:pPr>
              <w:autoSpaceDE w:val="0"/>
              <w:autoSpaceDN w:val="0"/>
              <w:spacing w:before="178" w:line="500" w:lineRule="exact"/>
              <w:ind w:right="101"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第二阶段：报告编制阶段</w:t>
            </w:r>
          </w:p>
        </w:tc>
        <w:tc>
          <w:tcPr>
            <w:tcW w:w="4723" w:type="dxa"/>
            <w:vAlign w:val="center"/>
          </w:tcPr>
          <w:p w14:paraId="2BF19A9B">
            <w:pPr>
              <w:autoSpaceDE w:val="0"/>
              <w:autoSpaceDN w:val="0"/>
              <w:spacing w:before="22" w:line="500" w:lineRule="exact"/>
              <w:ind w:left="53" w:right="41"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编制研究报告及子午书院、教学北区地块实施详细规划，给定发展预留板块指标原则，经过正式交换意见并修改完成。</w:t>
            </w:r>
          </w:p>
        </w:tc>
        <w:tc>
          <w:tcPr>
            <w:tcW w:w="1662" w:type="dxa"/>
            <w:vAlign w:val="center"/>
          </w:tcPr>
          <w:p w14:paraId="7434D32B">
            <w:pPr>
              <w:autoSpaceDE w:val="0"/>
              <w:autoSpaceDN w:val="0"/>
              <w:spacing w:before="192" w:line="500" w:lineRule="exact"/>
              <w:ind w:right="80"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10日</w:t>
            </w:r>
          </w:p>
        </w:tc>
      </w:tr>
      <w:tr w14:paraId="36F23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694" w:type="dxa"/>
            <w:vAlign w:val="center"/>
          </w:tcPr>
          <w:p w14:paraId="6EC54B0D">
            <w:pPr>
              <w:autoSpaceDE w:val="0"/>
              <w:autoSpaceDN w:val="0"/>
              <w:spacing w:before="192" w:line="500" w:lineRule="exact"/>
              <w:ind w:firstLine="240" w:firstLineChars="100"/>
              <w:rPr>
                <w:rFonts w:ascii="华文中宋" w:hAnsi="华文中宋" w:eastAsia="华文中宋" w:cs="华文中宋"/>
                <w:bCs/>
                <w:kern w:val="0"/>
                <w:sz w:val="24"/>
                <w:szCs w:val="24"/>
                <w:lang w:eastAsia="en-US"/>
              </w:rPr>
            </w:pPr>
            <w:r>
              <w:rPr>
                <w:rFonts w:hint="eastAsia" w:ascii="华文中宋" w:hAnsi="华文中宋" w:eastAsia="华文中宋" w:cs="华文中宋"/>
                <w:bCs/>
                <w:kern w:val="0"/>
                <w:sz w:val="24"/>
                <w:szCs w:val="24"/>
                <w:lang w:eastAsia="en-US"/>
              </w:rPr>
              <w:t>3</w:t>
            </w:r>
          </w:p>
        </w:tc>
        <w:tc>
          <w:tcPr>
            <w:tcW w:w="1888" w:type="dxa"/>
            <w:vAlign w:val="center"/>
          </w:tcPr>
          <w:p w14:paraId="7B70E459">
            <w:pPr>
              <w:autoSpaceDE w:val="0"/>
              <w:autoSpaceDN w:val="0"/>
              <w:spacing w:line="500" w:lineRule="exact"/>
              <w:ind w:right="101"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第三阶段：成果审查阶段</w:t>
            </w:r>
          </w:p>
        </w:tc>
        <w:tc>
          <w:tcPr>
            <w:tcW w:w="4723" w:type="dxa"/>
            <w:vAlign w:val="center"/>
          </w:tcPr>
          <w:p w14:paraId="43AC84B5">
            <w:pPr>
              <w:autoSpaceDE w:val="0"/>
              <w:autoSpaceDN w:val="0"/>
              <w:spacing w:before="22" w:line="500" w:lineRule="exact"/>
              <w:ind w:left="108" w:right="92" w:firstLine="480" w:firstLineChars="200"/>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经专家评审会议审议通过，</w:t>
            </w:r>
            <w:r>
              <w:rPr>
                <w:rFonts w:hint="eastAsia" w:ascii="华文中宋" w:hAnsi="华文中宋" w:eastAsia="华文中宋" w:cs="华文中宋"/>
                <w:bCs/>
                <w:spacing w:val="-3"/>
                <w:kern w:val="0"/>
                <w:sz w:val="24"/>
                <w:szCs w:val="24"/>
              </w:rPr>
              <w:t>规划行政主管部门组织对报审的报告</w:t>
            </w:r>
            <w:r>
              <w:rPr>
                <w:rFonts w:hint="eastAsia" w:ascii="华文中宋" w:hAnsi="华文中宋" w:eastAsia="华文中宋" w:cs="华文中宋"/>
                <w:bCs/>
                <w:spacing w:val="-10"/>
                <w:kern w:val="0"/>
                <w:sz w:val="24"/>
                <w:szCs w:val="24"/>
              </w:rPr>
              <w:t>进行审查并通过，经修改、补充和完善后，形</w:t>
            </w:r>
            <w:r>
              <w:rPr>
                <w:rFonts w:hint="eastAsia" w:ascii="华文中宋" w:hAnsi="华文中宋" w:eastAsia="华文中宋" w:cs="华文中宋"/>
                <w:bCs/>
                <w:spacing w:val="-12"/>
                <w:kern w:val="0"/>
                <w:sz w:val="24"/>
                <w:szCs w:val="24"/>
              </w:rPr>
              <w:t>成正式成果</w:t>
            </w:r>
            <w:r>
              <w:rPr>
                <w:rFonts w:hint="eastAsia" w:ascii="华文中宋" w:hAnsi="华文中宋" w:eastAsia="华文中宋" w:cs="华文中宋"/>
                <w:bCs/>
                <w:kern w:val="0"/>
                <w:sz w:val="24"/>
                <w:szCs w:val="24"/>
              </w:rPr>
              <w:t>。</w:t>
            </w:r>
          </w:p>
        </w:tc>
        <w:tc>
          <w:tcPr>
            <w:tcW w:w="1662" w:type="dxa"/>
            <w:vAlign w:val="center"/>
          </w:tcPr>
          <w:p w14:paraId="7F4040BB">
            <w:pPr>
              <w:autoSpaceDE w:val="0"/>
              <w:autoSpaceDN w:val="0"/>
              <w:spacing w:before="1" w:line="500" w:lineRule="exact"/>
              <w:jc w:val="center"/>
              <w:rPr>
                <w:rFonts w:ascii="华文中宋" w:hAnsi="华文中宋" w:eastAsia="华文中宋" w:cs="华文中宋"/>
                <w:bCs/>
                <w:kern w:val="0"/>
                <w:sz w:val="24"/>
                <w:szCs w:val="24"/>
              </w:rPr>
            </w:pPr>
            <w:r>
              <w:rPr>
                <w:rFonts w:hint="eastAsia" w:ascii="华文中宋" w:hAnsi="华文中宋" w:eastAsia="华文中宋" w:cs="华文中宋"/>
                <w:bCs/>
                <w:kern w:val="0"/>
                <w:sz w:val="24"/>
                <w:szCs w:val="24"/>
              </w:rPr>
              <w:t>经政府相关部门审议通过后15日，提交正式成果。</w:t>
            </w:r>
          </w:p>
        </w:tc>
      </w:tr>
    </w:tbl>
    <w:p w14:paraId="6A77D882">
      <w:pPr>
        <w:adjustRightInd w:val="0"/>
        <w:snapToGrid w:val="0"/>
        <w:spacing w:line="500" w:lineRule="exact"/>
        <w:ind w:firstLine="480" w:firstLineChars="200"/>
        <w:rPr>
          <w:rFonts w:ascii="华文中宋" w:hAnsi="华文中宋" w:eastAsia="华文中宋" w:cs="华文中宋"/>
          <w:b/>
          <w:kern w:val="0"/>
          <w:sz w:val="24"/>
          <w:szCs w:val="24"/>
        </w:rPr>
      </w:pPr>
      <w:r>
        <w:rPr>
          <w:rFonts w:hint="eastAsia" w:ascii="华文中宋" w:hAnsi="华文中宋" w:eastAsia="华文中宋" w:cs="华文中宋"/>
          <w:b/>
          <w:kern w:val="0"/>
          <w:sz w:val="24"/>
          <w:szCs w:val="24"/>
        </w:rPr>
        <w:t>第五条  技术服务要求和质量标准</w:t>
      </w:r>
    </w:p>
    <w:p w14:paraId="4475DCF2">
      <w:pPr>
        <w:adjustRightInd w:val="0"/>
        <w:snapToGrid w:val="0"/>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sz w:val="24"/>
          <w:szCs w:val="24"/>
        </w:rPr>
        <w:t>5.1</w:t>
      </w:r>
      <w:r>
        <w:rPr>
          <w:rFonts w:hint="eastAsia" w:ascii="华文中宋" w:hAnsi="华文中宋" w:eastAsia="华文中宋" w:cs="华文中宋"/>
          <w:kern w:val="0"/>
          <w:sz w:val="24"/>
          <w:szCs w:val="24"/>
        </w:rPr>
        <w:t xml:space="preserve">  本项目成果文件必须执行中华人民共和国现行规划行业设计规范、规定、规程、条例、标准等；</w:t>
      </w:r>
    </w:p>
    <w:p w14:paraId="06786942">
      <w:pPr>
        <w:adjustRightInd w:val="0"/>
        <w:snapToGrid w:val="0"/>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sz w:val="24"/>
          <w:szCs w:val="24"/>
        </w:rPr>
        <w:t>5.2</w:t>
      </w:r>
      <w:r>
        <w:rPr>
          <w:rFonts w:hint="eastAsia" w:ascii="华文中宋" w:hAnsi="华文中宋" w:eastAsia="华文中宋" w:cs="华文中宋"/>
          <w:kern w:val="0"/>
          <w:sz w:val="24"/>
          <w:szCs w:val="24"/>
        </w:rPr>
        <w:t xml:space="preserve">  本项目成果文件应符合行业及地方通用标准和惯例的要求；</w:t>
      </w:r>
    </w:p>
    <w:p w14:paraId="65BA6357">
      <w:pPr>
        <w:adjustRightInd w:val="0"/>
        <w:snapToGrid w:val="0"/>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5.3  本项目成果文件必须满足本项目报审要求及合同目的，并最终通过专家评审和政府审批。</w:t>
      </w:r>
    </w:p>
    <w:p w14:paraId="5535E1A8">
      <w:pPr>
        <w:pStyle w:val="24"/>
        <w:snapToGrid w:val="0"/>
        <w:spacing w:line="500" w:lineRule="exact"/>
        <w:ind w:firstLineChars="200"/>
        <w:jc w:val="both"/>
        <w:rPr>
          <w:rFonts w:ascii="华文中宋" w:hAnsi="华文中宋" w:eastAsia="华文中宋" w:cs="华文中宋"/>
          <w:b/>
          <w:sz w:val="24"/>
          <w:szCs w:val="24"/>
        </w:rPr>
      </w:pPr>
      <w:r>
        <w:rPr>
          <w:rFonts w:hint="eastAsia" w:ascii="华文中宋" w:hAnsi="华文中宋" w:eastAsia="华文中宋" w:cs="华文中宋"/>
          <w:b/>
          <w:sz w:val="24"/>
          <w:szCs w:val="24"/>
        </w:rPr>
        <w:t>第六条  成果认定</w:t>
      </w:r>
    </w:p>
    <w:p w14:paraId="4B94AABD">
      <w:pPr>
        <w:adjustRightInd w:val="0"/>
        <w:snapToGrid w:val="0"/>
        <w:spacing w:line="500" w:lineRule="exact"/>
        <w:ind w:firstLine="480" w:firstLineChars="200"/>
        <w:rPr>
          <w:rFonts w:ascii="华文中宋" w:hAnsi="华文中宋" w:eastAsia="华文中宋" w:cs="华文中宋"/>
          <w:color w:val="FF0000"/>
          <w:kern w:val="0"/>
          <w:sz w:val="24"/>
          <w:szCs w:val="24"/>
        </w:rPr>
      </w:pPr>
      <w:r>
        <w:rPr>
          <w:rFonts w:hint="eastAsia" w:ascii="华文中宋" w:hAnsi="华文中宋" w:eastAsia="华文中宋" w:cs="华文中宋"/>
          <w:sz w:val="24"/>
          <w:szCs w:val="24"/>
        </w:rPr>
        <w:t>6.1</w:t>
      </w:r>
      <w:r>
        <w:rPr>
          <w:rFonts w:hint="eastAsia" w:ascii="华文中宋" w:hAnsi="华文中宋" w:eastAsia="华文中宋" w:cs="华文中宋"/>
          <w:kern w:val="0"/>
          <w:sz w:val="24"/>
          <w:szCs w:val="24"/>
        </w:rPr>
        <w:t xml:space="preserve">  乙方按本合同第四条规定完成各阶段论证成果及相关文件。</w:t>
      </w:r>
    </w:p>
    <w:p w14:paraId="666171A8">
      <w:pPr>
        <w:adjustRightInd w:val="0"/>
        <w:snapToGrid w:val="0"/>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6.2  针对乙方提交的阶段工作成果文件，如甲方提出修改意见，乙方应免费按甲方的意见进行修改完善。</w:t>
      </w:r>
    </w:p>
    <w:p w14:paraId="61EB9D8F">
      <w:pPr>
        <w:adjustRightInd w:val="0"/>
        <w:snapToGrid w:val="0"/>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sz w:val="24"/>
          <w:szCs w:val="24"/>
        </w:rPr>
        <w:t>6.3</w:t>
      </w:r>
      <w:r>
        <w:rPr>
          <w:rFonts w:hint="eastAsia" w:ascii="华文中宋" w:hAnsi="华文中宋" w:eastAsia="华文中宋" w:cs="华文中宋"/>
          <w:kern w:val="0"/>
          <w:sz w:val="24"/>
          <w:szCs w:val="24"/>
        </w:rPr>
        <w:t xml:space="preserve">  成果文件送审由乙方协助甲方进行，若未通过审核，乙方负责修改直至成果送审最终通过审核，由此增加的服务期限及费用已包含在合同价款中，甲方不再另行支付。</w:t>
      </w:r>
    </w:p>
    <w:p w14:paraId="445DC041">
      <w:pPr>
        <w:adjustRightInd w:val="0"/>
        <w:snapToGrid w:val="0"/>
        <w:spacing w:line="500" w:lineRule="exact"/>
        <w:ind w:firstLine="480" w:firstLineChars="200"/>
        <w:rPr>
          <w:rFonts w:ascii="华文中宋" w:hAnsi="华文中宋" w:eastAsia="华文中宋" w:cs="华文中宋"/>
          <w:b/>
          <w:bCs/>
          <w:kern w:val="0"/>
          <w:sz w:val="24"/>
          <w:szCs w:val="24"/>
        </w:rPr>
      </w:pPr>
      <w:r>
        <w:rPr>
          <w:rFonts w:hint="eastAsia" w:ascii="华文中宋" w:hAnsi="华文中宋" w:eastAsia="华文中宋" w:cs="华文中宋"/>
          <w:b/>
          <w:bCs/>
          <w:kern w:val="0"/>
          <w:sz w:val="24"/>
          <w:szCs w:val="24"/>
        </w:rPr>
        <w:t>第七条  甲方责任</w:t>
      </w:r>
    </w:p>
    <w:p w14:paraId="59C2A66A">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7.1  甲方应在本合同签订后五日内，向乙方提交本合同第三条所有设计基础资料。逾期限超过十五日，乙方按本合同规定交付成果文件的时间相应顺延，甲方对其提供资料的真实性、正确性、合法性负责。</w:t>
      </w:r>
    </w:p>
    <w:p w14:paraId="4C2F4203">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7.2  甲方应按本合同第九条规定内容如期如数向乙方支付合同工作费用。</w:t>
      </w:r>
    </w:p>
    <w:p w14:paraId="483358D5">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7.3  甲方指定</w:t>
      </w:r>
      <w:r>
        <w:rPr>
          <w:rFonts w:hint="eastAsia" w:ascii="华文中宋" w:hAnsi="华文中宋" w:eastAsia="华文中宋" w:cs="华文中宋"/>
          <w:szCs w:val="24"/>
          <w:u w:val="single"/>
        </w:rPr>
        <w:t xml:space="preserve">            （</w:t>
      </w:r>
      <w:r>
        <w:rPr>
          <w:rFonts w:hint="eastAsia" w:ascii="华文中宋" w:hAnsi="华文中宋" w:eastAsia="华文中宋" w:cs="华文中宋"/>
          <w:szCs w:val="24"/>
        </w:rPr>
        <w:t>电话：</w:t>
      </w:r>
      <w:r>
        <w:rPr>
          <w:rFonts w:hint="eastAsia" w:ascii="华文中宋" w:hAnsi="华文中宋" w:eastAsia="华文中宋" w:cs="华文中宋"/>
          <w:szCs w:val="24"/>
          <w:u w:val="single"/>
        </w:rPr>
        <w:t xml:space="preserve">            </w:t>
      </w:r>
      <w:r>
        <w:rPr>
          <w:rFonts w:hint="eastAsia" w:ascii="华文中宋" w:hAnsi="华文中宋" w:eastAsia="华文中宋" w:cs="华文中宋"/>
          <w:szCs w:val="24"/>
        </w:rPr>
        <w:t>）为负责人，全面组织协调本项目各项事宜。</w:t>
      </w:r>
    </w:p>
    <w:p w14:paraId="16D39B76">
      <w:pPr>
        <w:pStyle w:val="25"/>
        <w:snapToGrid w:val="0"/>
        <w:spacing w:line="500" w:lineRule="exact"/>
        <w:ind w:firstLineChars="200"/>
        <w:jc w:val="both"/>
        <w:rPr>
          <w:rFonts w:ascii="华文中宋" w:hAnsi="华文中宋" w:eastAsia="华文中宋" w:cs="华文中宋"/>
          <w:b/>
          <w:bCs/>
          <w:szCs w:val="24"/>
        </w:rPr>
      </w:pPr>
      <w:r>
        <w:rPr>
          <w:rFonts w:hint="eastAsia" w:ascii="华文中宋" w:hAnsi="华文中宋" w:eastAsia="华文中宋" w:cs="华文中宋"/>
          <w:b/>
          <w:bCs/>
          <w:szCs w:val="24"/>
        </w:rPr>
        <w:t>第八条  乙方责任</w:t>
      </w:r>
    </w:p>
    <w:p w14:paraId="53853D5A">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8.1  乙方应按本合同第四条规定进行编制工作并提交成果及相关文件，并对其提交的成果及文件的准确性、合法性和专业性负责。</w:t>
      </w:r>
    </w:p>
    <w:p w14:paraId="16222A2B">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8.2  乙方应在合同约定服务期限内完成全部工作，对成果文件出现的遗漏或错误负责修改或补充，并提交最终通过专家评审及政府审核的成果文件。</w:t>
      </w:r>
    </w:p>
    <w:p w14:paraId="0695FF23">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8.3  乙方负责与西安市自然资源和规划局、高新分局等政府相关职能部门进行技术对接和沟通，并参加各级审批会议，负责成果文件的汇报、解释说明等工作；各级审批会议结束后，承包人根据会议意见对成果文件进行修改、完善。</w:t>
      </w:r>
    </w:p>
    <w:p w14:paraId="7EF69D43">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8.4  成果文件向政府部门报审由乙方协助甲方进行，若未通过审核，乙方负责免费修改和补充，直至最终通过政府审核。</w:t>
      </w:r>
    </w:p>
    <w:p w14:paraId="31174824">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8.5  乙方指定</w:t>
      </w:r>
      <w:r>
        <w:rPr>
          <w:rFonts w:hint="eastAsia" w:ascii="华文中宋" w:hAnsi="华文中宋" w:eastAsia="华文中宋" w:cs="华文中宋"/>
          <w:szCs w:val="24"/>
          <w:u w:val="single"/>
        </w:rPr>
        <w:t xml:space="preserve">        （</w:t>
      </w:r>
      <w:r>
        <w:rPr>
          <w:rFonts w:hint="eastAsia" w:ascii="华文中宋" w:hAnsi="华文中宋" w:eastAsia="华文中宋" w:cs="华文中宋"/>
          <w:szCs w:val="24"/>
        </w:rPr>
        <w:t>电话：</w:t>
      </w:r>
      <w:r>
        <w:rPr>
          <w:rFonts w:hint="eastAsia" w:ascii="华文中宋" w:hAnsi="华文中宋" w:eastAsia="华文中宋" w:cs="华文中宋"/>
          <w:szCs w:val="24"/>
          <w:u w:val="single"/>
        </w:rPr>
        <w:t xml:space="preserve">         </w:t>
      </w:r>
      <w:r>
        <w:rPr>
          <w:rFonts w:hint="eastAsia" w:ascii="华文中宋" w:hAnsi="华文中宋" w:eastAsia="华文中宋" w:cs="华文中宋"/>
          <w:szCs w:val="24"/>
        </w:rPr>
        <w:t>）为项目负责人，全面组织协调本项目本项目各项事宜。</w:t>
      </w:r>
    </w:p>
    <w:p w14:paraId="7735C65D">
      <w:pPr>
        <w:adjustRightInd w:val="0"/>
        <w:snapToGrid w:val="0"/>
        <w:spacing w:line="500" w:lineRule="exact"/>
        <w:ind w:firstLine="480" w:firstLineChars="200"/>
        <w:rPr>
          <w:rFonts w:ascii="华文中宋" w:hAnsi="华文中宋" w:eastAsia="华文中宋" w:cs="华文中宋"/>
          <w:b/>
          <w:kern w:val="0"/>
          <w:sz w:val="24"/>
          <w:szCs w:val="24"/>
        </w:rPr>
      </w:pPr>
      <w:r>
        <w:rPr>
          <w:rFonts w:hint="eastAsia" w:ascii="华文中宋" w:hAnsi="华文中宋" w:eastAsia="华文中宋" w:cs="华文中宋"/>
          <w:b/>
          <w:kern w:val="0"/>
          <w:sz w:val="24"/>
          <w:szCs w:val="24"/>
        </w:rPr>
        <w:t>第九条  合同价款及支付方式</w:t>
      </w:r>
    </w:p>
    <w:p w14:paraId="37C6465A">
      <w:pPr>
        <w:pStyle w:val="25"/>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9.1  合同价款</w:t>
      </w:r>
    </w:p>
    <w:p w14:paraId="6ACFB4D0">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本项目合同价款采用含税固定总价方式，含税固定总价为人民币：</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w:t>
      </w:r>
      <w:r>
        <w:rPr>
          <w:rFonts w:hint="eastAsia" w:ascii="华文中宋" w:hAnsi="华文中宋" w:eastAsia="华文中宋" w:cs="华文中宋"/>
          <w:sz w:val="24"/>
          <w:szCs w:val="24"/>
          <w:u w:val="single"/>
        </w:rPr>
        <w:t xml:space="preserve">        </w:t>
      </w:r>
      <w:r>
        <w:rPr>
          <w:rFonts w:hint="eastAsia" w:ascii="华文中宋" w:hAnsi="华文中宋" w:eastAsia="华文中宋" w:cs="华文中宋"/>
          <w:sz w:val="24"/>
          <w:szCs w:val="24"/>
        </w:rPr>
        <w:t>元）。</w:t>
      </w:r>
    </w:p>
    <w:p w14:paraId="614351A9">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合同价款包括但不限于调研费、材料费、人工费、编制打印费、专家评审费、交通食宿费、各项税费等完成本项目工作内容所需的全部费用。</w:t>
      </w:r>
    </w:p>
    <w:p w14:paraId="1C4BFEDC">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9.2  支付方式</w:t>
      </w:r>
    </w:p>
    <w:p w14:paraId="4AE1F726">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9.2.1  第一次支付：合同签订后，草堂校区地块实施详细规划（子午书院、教学北区）通过由相关审批部门组织的专家评审会后15日内，甲方向乙方支付合同总价款的40%。</w:t>
      </w:r>
    </w:p>
    <w:p w14:paraId="69FCB317">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第二次支付：草堂校区地块实施详细规划（子午书院、教学北区）通过公示后15日内，甲方向乙方支付合同总价款的40%。</w:t>
      </w:r>
    </w:p>
    <w:p w14:paraId="3D9A2481">
      <w:pPr>
        <w:adjustRightInd w:val="0"/>
        <w:snapToGrid w:val="0"/>
        <w:spacing w:line="500" w:lineRule="exact"/>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第三次支付：草堂校区地块实施详细规划（子午书院、教学北区）经政府相关会议审批通过后，乙方向甲方提交通过审批后的成果文件后，经甲方审计部门审核通过后15日内（遇假期或特殊情况可延后支付），甲方一次性向乙方支付剩余合同价款的20%。</w:t>
      </w:r>
    </w:p>
    <w:p w14:paraId="60BD28C4">
      <w:pPr>
        <w:pStyle w:val="25"/>
        <w:snapToGrid w:val="0"/>
        <w:spacing w:line="500" w:lineRule="exact"/>
        <w:ind w:firstLineChars="200"/>
        <w:jc w:val="both"/>
        <w:rPr>
          <w:rFonts w:ascii="华文中宋" w:hAnsi="华文中宋" w:eastAsia="华文中宋" w:cs="华文中宋"/>
          <w:color w:val="000000"/>
          <w:szCs w:val="24"/>
        </w:rPr>
      </w:pPr>
      <w:r>
        <w:rPr>
          <w:rFonts w:hint="eastAsia" w:ascii="华文中宋" w:hAnsi="华文中宋" w:eastAsia="华文中宋" w:cs="华文中宋"/>
          <w:szCs w:val="24"/>
        </w:rPr>
        <w:t xml:space="preserve">9.3  </w:t>
      </w:r>
      <w:r>
        <w:rPr>
          <w:rFonts w:hint="eastAsia" w:ascii="华文中宋" w:hAnsi="华文中宋" w:eastAsia="华文中宋" w:cs="华文中宋"/>
          <w:color w:val="000000"/>
          <w:szCs w:val="24"/>
        </w:rPr>
        <w:t>甲方每次付款前，乙方应向甲方提供付款申请、当次应付款项等额增值税专用发票等付款资料，否则甲方有权拒付任何合同款项，且不构成逾期付款的违约责任。</w:t>
      </w:r>
    </w:p>
    <w:p w14:paraId="7A94C158">
      <w:pPr>
        <w:pStyle w:val="24"/>
        <w:snapToGrid w:val="0"/>
        <w:spacing w:line="500" w:lineRule="exact"/>
        <w:ind w:firstLineChars="200"/>
        <w:jc w:val="both"/>
        <w:rPr>
          <w:rFonts w:ascii="华文中宋" w:hAnsi="华文中宋" w:eastAsia="华文中宋" w:cs="华文中宋"/>
          <w:b/>
          <w:sz w:val="24"/>
          <w:szCs w:val="24"/>
        </w:rPr>
      </w:pPr>
      <w:r>
        <w:rPr>
          <w:rFonts w:hint="eastAsia" w:ascii="华文中宋" w:hAnsi="华文中宋" w:eastAsia="华文中宋" w:cs="华文中宋"/>
          <w:b/>
          <w:sz w:val="24"/>
          <w:szCs w:val="24"/>
        </w:rPr>
        <w:t>第十条  违约责任及其他约定事项</w:t>
      </w:r>
    </w:p>
    <w:p w14:paraId="5356DA90">
      <w:pPr>
        <w:pStyle w:val="24"/>
        <w:snapToGrid w:val="0"/>
        <w:spacing w:line="500" w:lineRule="exact"/>
        <w:ind w:firstLineChars="200"/>
        <w:jc w:val="both"/>
        <w:rPr>
          <w:rFonts w:ascii="华文中宋" w:hAnsi="华文中宋" w:eastAsia="华文中宋" w:cs="华文中宋"/>
          <w:sz w:val="24"/>
          <w:szCs w:val="24"/>
        </w:rPr>
      </w:pPr>
      <w:r>
        <w:rPr>
          <w:rFonts w:hint="eastAsia" w:ascii="华文中宋" w:hAnsi="华文中宋" w:eastAsia="华文中宋" w:cs="华文中宋"/>
          <w:sz w:val="24"/>
          <w:szCs w:val="24"/>
        </w:rPr>
        <w:t>10.1 在合同履行期间，甲方要求终止或解除合同；已开始工作的，甲方应根据乙方已进行的该阶段工作按双方确认的该阶段工作费用支付，且支付费用前乙方应向甲方提交已完成的该阶段的工作成果。</w:t>
      </w:r>
    </w:p>
    <w:p w14:paraId="68F9D0E4">
      <w:pPr>
        <w:pStyle w:val="24"/>
        <w:snapToGrid w:val="0"/>
        <w:spacing w:line="500" w:lineRule="exact"/>
        <w:ind w:firstLineChars="200"/>
        <w:jc w:val="both"/>
        <w:rPr>
          <w:rFonts w:ascii="华文中宋" w:hAnsi="华文中宋" w:eastAsia="华文中宋" w:cs="华文中宋"/>
          <w:sz w:val="24"/>
          <w:szCs w:val="24"/>
        </w:rPr>
      </w:pPr>
      <w:r>
        <w:rPr>
          <w:rFonts w:hint="eastAsia" w:ascii="华文中宋" w:hAnsi="华文中宋" w:eastAsia="华文中宋" w:cs="华文中宋"/>
          <w:sz w:val="24"/>
          <w:szCs w:val="24"/>
        </w:rPr>
        <w:t>10.2 因乙方责任造成工作重大返工或重作的，乙方不得另行收费。</w:t>
      </w:r>
    </w:p>
    <w:p w14:paraId="2068063D">
      <w:pPr>
        <w:pStyle w:val="24"/>
        <w:snapToGrid w:val="0"/>
        <w:spacing w:line="500" w:lineRule="exact"/>
        <w:ind w:firstLineChars="200"/>
        <w:jc w:val="both"/>
        <w:rPr>
          <w:rFonts w:ascii="华文中宋" w:hAnsi="华文中宋" w:eastAsia="华文中宋" w:cs="华文中宋"/>
          <w:sz w:val="24"/>
          <w:szCs w:val="24"/>
        </w:rPr>
      </w:pPr>
      <w:r>
        <w:rPr>
          <w:rFonts w:hint="eastAsia" w:ascii="华文中宋" w:hAnsi="华文中宋" w:eastAsia="华文中宋" w:cs="华文中宋"/>
          <w:sz w:val="24"/>
          <w:szCs w:val="24"/>
        </w:rPr>
        <w:t>10.3 乙方由于自身过错，延误按本合同规定的阶段成果文件交付时间，每延误一天，应减收当期应收费用的2‰作为延误违约金。若乙方自身原因造成逾期超过15日的，甲方有权解除合同，乙方应全额退回甲方支付的合同款，并按合同总价款的10%向甲方支付违约金。</w:t>
      </w:r>
    </w:p>
    <w:p w14:paraId="7A1E174D">
      <w:pPr>
        <w:pStyle w:val="24"/>
        <w:snapToGrid w:val="0"/>
        <w:spacing w:line="500" w:lineRule="exact"/>
        <w:ind w:firstLineChars="200"/>
        <w:jc w:val="both"/>
        <w:rPr>
          <w:rFonts w:ascii="华文中宋" w:hAnsi="华文中宋" w:eastAsia="华文中宋" w:cs="华文中宋"/>
          <w:sz w:val="24"/>
          <w:szCs w:val="24"/>
        </w:rPr>
      </w:pPr>
      <w:r>
        <w:rPr>
          <w:rFonts w:hint="eastAsia" w:ascii="华文中宋" w:hAnsi="华文中宋" w:eastAsia="华文中宋" w:cs="华文中宋"/>
          <w:sz w:val="24"/>
          <w:szCs w:val="24"/>
        </w:rPr>
        <w:t>10.4 合同生效后，非因甲方原因且无任何其他合理理由乙方要求终止或解除合同的，乙方应退回所有已收款项。</w:t>
      </w:r>
    </w:p>
    <w:p w14:paraId="77C32CCE">
      <w:pPr>
        <w:pStyle w:val="24"/>
        <w:snapToGrid w:val="0"/>
        <w:spacing w:line="500" w:lineRule="exact"/>
        <w:ind w:firstLineChars="200"/>
        <w:jc w:val="both"/>
        <w:rPr>
          <w:rFonts w:ascii="华文中宋" w:hAnsi="华文中宋" w:eastAsia="华文中宋" w:cs="华文中宋"/>
          <w:sz w:val="24"/>
          <w:szCs w:val="24"/>
        </w:rPr>
      </w:pPr>
      <w:r>
        <w:rPr>
          <w:rFonts w:hint="eastAsia" w:ascii="华文中宋" w:hAnsi="华文中宋" w:eastAsia="华文中宋" w:cs="华文中宋"/>
          <w:sz w:val="24"/>
          <w:szCs w:val="24"/>
        </w:rPr>
        <w:t>10.5 乙方及其工作人员应对工作成果和在合同履行过程中了解到的涉及甲方商业秘密的资料以及其他尚未公开的有关信息承担保密义务，并采取相应的保密措施。乙方未经甲方书面同意，不得将上述工作成果、资料及信息披露给任何第三人，不得将上述工作成果、资料及信息用于本合同以外的其他目的。若未经甲方许可，乙方擅自使用或向第三方披露或许可第三方使用在为甲方提供服务时获取的成果，甲方有权要求乙方和第三方承担赔偿和法律责任。</w:t>
      </w:r>
    </w:p>
    <w:p w14:paraId="6A0966F4">
      <w:pPr>
        <w:pStyle w:val="24"/>
        <w:snapToGrid w:val="0"/>
        <w:spacing w:line="500" w:lineRule="exact"/>
        <w:ind w:firstLineChars="200"/>
        <w:jc w:val="both"/>
        <w:rPr>
          <w:rFonts w:ascii="华文中宋" w:hAnsi="华文中宋" w:eastAsia="华文中宋" w:cs="华文中宋"/>
          <w:b/>
          <w:sz w:val="24"/>
          <w:szCs w:val="24"/>
        </w:rPr>
      </w:pPr>
      <w:r>
        <w:rPr>
          <w:rFonts w:hint="eastAsia" w:ascii="华文中宋" w:hAnsi="华文中宋" w:eastAsia="华文中宋" w:cs="华文中宋"/>
          <w:b/>
          <w:sz w:val="24"/>
          <w:szCs w:val="24"/>
        </w:rPr>
        <w:t>第十一条  争议的解决方式</w:t>
      </w:r>
    </w:p>
    <w:p w14:paraId="5238ABAE">
      <w:pPr>
        <w:pStyle w:val="12"/>
        <w:tabs>
          <w:tab w:val="left" w:pos="1260"/>
        </w:tabs>
        <w:adjustRightInd w:val="0"/>
        <w:snapToGrid w:val="0"/>
        <w:spacing w:line="500" w:lineRule="exact"/>
        <w:ind w:firstLine="480" w:firstLineChars="200"/>
        <w:rPr>
          <w:rFonts w:ascii="华文中宋" w:hAnsi="华文中宋" w:eastAsia="华文中宋" w:cs="华文中宋"/>
          <w:kern w:val="0"/>
          <w:sz w:val="24"/>
          <w:szCs w:val="24"/>
        </w:rPr>
      </w:pPr>
      <w:r>
        <w:rPr>
          <w:rFonts w:hint="eastAsia" w:ascii="华文中宋" w:hAnsi="华文中宋" w:eastAsia="华文中宋" w:cs="华文中宋"/>
          <w:kern w:val="0"/>
          <w:sz w:val="24"/>
          <w:szCs w:val="24"/>
        </w:rPr>
        <w:t>双方因履行本合同而发生的争议，应协商、调解解决。协商、调解不成的，依法向甲方所在地有管辖权的人民法院诉讼解决。</w:t>
      </w:r>
    </w:p>
    <w:p w14:paraId="5518EF5D">
      <w:pPr>
        <w:adjustRightInd w:val="0"/>
        <w:snapToGrid w:val="0"/>
        <w:spacing w:line="500" w:lineRule="exact"/>
        <w:ind w:firstLine="480" w:firstLineChars="200"/>
        <w:rPr>
          <w:rFonts w:ascii="华文中宋" w:hAnsi="华文中宋" w:eastAsia="华文中宋" w:cs="华文中宋"/>
          <w:b/>
          <w:kern w:val="0"/>
          <w:sz w:val="24"/>
          <w:szCs w:val="24"/>
        </w:rPr>
      </w:pPr>
      <w:r>
        <w:rPr>
          <w:rFonts w:hint="eastAsia" w:ascii="华文中宋" w:hAnsi="华文中宋" w:eastAsia="华文中宋" w:cs="华文中宋"/>
          <w:b/>
          <w:kern w:val="0"/>
          <w:sz w:val="24"/>
          <w:szCs w:val="24"/>
        </w:rPr>
        <w:t>第十二条  附则</w:t>
      </w:r>
    </w:p>
    <w:p w14:paraId="75619620">
      <w:pPr>
        <w:pStyle w:val="26"/>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12.1  本合同未尽事宜，均按《中华人民共和国民法典》规定执行，双方也可签订补充协议，补充协议与本合同具有同等效力。</w:t>
      </w:r>
    </w:p>
    <w:p w14:paraId="02184564">
      <w:pPr>
        <w:pStyle w:val="26"/>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12.2  本合同所述“日”均为工作日。</w:t>
      </w:r>
    </w:p>
    <w:p w14:paraId="5E94C74C">
      <w:pPr>
        <w:pStyle w:val="26"/>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12.3  本合同一式</w:t>
      </w:r>
      <w:r>
        <w:rPr>
          <w:rFonts w:hint="eastAsia" w:ascii="华文中宋" w:hAnsi="华文中宋" w:eastAsia="华文中宋" w:cs="华文中宋"/>
          <w:szCs w:val="24"/>
          <w:u w:val="single"/>
        </w:rPr>
        <w:t>捌</w:t>
      </w:r>
      <w:r>
        <w:rPr>
          <w:rFonts w:hint="eastAsia" w:ascii="华文中宋" w:hAnsi="华文中宋" w:eastAsia="华文中宋" w:cs="华文中宋"/>
          <w:szCs w:val="24"/>
        </w:rPr>
        <w:t>份，甲方执</w:t>
      </w:r>
      <w:r>
        <w:rPr>
          <w:rFonts w:hint="eastAsia" w:ascii="华文中宋" w:hAnsi="华文中宋" w:eastAsia="华文中宋" w:cs="华文中宋"/>
          <w:szCs w:val="24"/>
          <w:u w:val="single"/>
        </w:rPr>
        <w:t>伍</w:t>
      </w:r>
      <w:r>
        <w:rPr>
          <w:rFonts w:hint="eastAsia" w:ascii="华文中宋" w:hAnsi="华文中宋" w:eastAsia="华文中宋" w:cs="华文中宋"/>
          <w:szCs w:val="24"/>
        </w:rPr>
        <w:t>份，乙方执</w:t>
      </w:r>
      <w:r>
        <w:rPr>
          <w:rFonts w:hint="eastAsia" w:ascii="华文中宋" w:hAnsi="华文中宋" w:eastAsia="华文中宋" w:cs="华文中宋"/>
          <w:szCs w:val="24"/>
          <w:u w:val="single"/>
        </w:rPr>
        <w:t>叁</w:t>
      </w:r>
      <w:r>
        <w:rPr>
          <w:rFonts w:hint="eastAsia" w:ascii="华文中宋" w:hAnsi="华文中宋" w:eastAsia="华文中宋" w:cs="华文中宋"/>
          <w:szCs w:val="24"/>
        </w:rPr>
        <w:t>份，具有同等法律效力。</w:t>
      </w:r>
    </w:p>
    <w:p w14:paraId="120E281B">
      <w:pPr>
        <w:pStyle w:val="26"/>
        <w:snapToGrid w:val="0"/>
        <w:spacing w:line="500" w:lineRule="exact"/>
        <w:ind w:firstLineChars="200"/>
        <w:jc w:val="both"/>
        <w:rPr>
          <w:rFonts w:ascii="华文中宋" w:hAnsi="华文中宋" w:eastAsia="华文中宋" w:cs="华文中宋"/>
          <w:szCs w:val="24"/>
        </w:rPr>
      </w:pPr>
      <w:r>
        <w:rPr>
          <w:rFonts w:hint="eastAsia" w:ascii="华文中宋" w:hAnsi="华文中宋" w:eastAsia="华文中宋" w:cs="华文中宋"/>
          <w:szCs w:val="24"/>
        </w:rPr>
        <w:t>12.4  本合同自双方签字盖章之日起生效，双方履行完合同规定的义务后，本合同即行终止。</w:t>
      </w:r>
    </w:p>
    <w:p w14:paraId="0302AFD9">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FA2E55"/>
    <w:multiLevelType w:val="multilevel"/>
    <w:tmpl w:val="9BFA2E55"/>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decimal"/>
      <w:lvlText w:val="5.3.%4"/>
      <w:lvlJc w:val="left"/>
      <w:pPr>
        <w:ind w:left="0" w:firstLine="0"/>
      </w:pPr>
      <w:rPr>
        <w:rFonts w:hint="eastAsia"/>
        <w:b w:val="0"/>
      </w:rPr>
    </w:lvl>
    <w:lvl w:ilvl="4" w:tentative="0">
      <w:start w:val="1"/>
      <w:numFmt w:val="none"/>
      <w:pStyle w:val="6"/>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6E19B793"/>
    <w:multiLevelType w:val="multilevel"/>
    <w:tmpl w:val="6E19B793"/>
    <w:lvl w:ilvl="0" w:tentative="0">
      <w:start w:val="1"/>
      <w:numFmt w:val="decimal"/>
      <w:suff w:val="space"/>
      <w:lvlText w:val="%1."/>
      <w:lvlJc w:val="left"/>
      <w:pPr>
        <w:ind w:left="0" w:firstLine="0"/>
      </w:pPr>
      <w:rPr>
        <w:rFonts w:hint="eastAsia"/>
      </w:rPr>
    </w:lvl>
    <w:lvl w:ilvl="1" w:tentative="0">
      <w:start w:val="1"/>
      <w:numFmt w:val="decimal"/>
      <w:lvlText w:val="5.1.%2"/>
      <w:lvlJc w:val="left"/>
      <w:pPr>
        <w:ind w:left="210" w:firstLine="0"/>
      </w:pPr>
      <w:rPr>
        <w:rFonts w:hint="eastAsia"/>
        <w:b w:val="0"/>
      </w:rPr>
    </w:lvl>
    <w:lvl w:ilvl="2" w:tentative="0">
      <w:start w:val="1"/>
      <w:numFmt w:val="decimal"/>
      <w:pStyle w:val="15"/>
      <w:suff w:val="space"/>
      <w:lvlText w:val="%1.%2.%3 "/>
      <w:lvlJc w:val="left"/>
      <w:pPr>
        <w:ind w:left="0" w:firstLine="0"/>
      </w:pPr>
      <w:rPr>
        <w:rFonts w:hint="default"/>
        <w:sz w:val="20"/>
        <w:szCs w:val="20"/>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BE4B09"/>
    <w:rsid w:val="0094138D"/>
    <w:rsid w:val="025A0682"/>
    <w:rsid w:val="03087CD0"/>
    <w:rsid w:val="04460E6B"/>
    <w:rsid w:val="04C83BB0"/>
    <w:rsid w:val="0601152A"/>
    <w:rsid w:val="075B5D37"/>
    <w:rsid w:val="081D3EC1"/>
    <w:rsid w:val="086D29D8"/>
    <w:rsid w:val="08BA3EF5"/>
    <w:rsid w:val="0A59121E"/>
    <w:rsid w:val="0A8401A3"/>
    <w:rsid w:val="0A933C39"/>
    <w:rsid w:val="0B2C17A1"/>
    <w:rsid w:val="0BE42CF6"/>
    <w:rsid w:val="0C125AEB"/>
    <w:rsid w:val="0C1E10EA"/>
    <w:rsid w:val="0C731656"/>
    <w:rsid w:val="0D38442D"/>
    <w:rsid w:val="0F8B7B21"/>
    <w:rsid w:val="10C11788"/>
    <w:rsid w:val="10F776DB"/>
    <w:rsid w:val="126B7053"/>
    <w:rsid w:val="139D55FA"/>
    <w:rsid w:val="141F6BD7"/>
    <w:rsid w:val="14546721"/>
    <w:rsid w:val="14983638"/>
    <w:rsid w:val="1581216D"/>
    <w:rsid w:val="15A24B3A"/>
    <w:rsid w:val="163B2771"/>
    <w:rsid w:val="16BE737F"/>
    <w:rsid w:val="172B0B5F"/>
    <w:rsid w:val="175700D7"/>
    <w:rsid w:val="1765414D"/>
    <w:rsid w:val="190C374D"/>
    <w:rsid w:val="191404B0"/>
    <w:rsid w:val="19F25E3C"/>
    <w:rsid w:val="1A32313A"/>
    <w:rsid w:val="1A325198"/>
    <w:rsid w:val="1ABA7FC4"/>
    <w:rsid w:val="1ADF4FBA"/>
    <w:rsid w:val="1B2F7A57"/>
    <w:rsid w:val="1B6842AF"/>
    <w:rsid w:val="1D183933"/>
    <w:rsid w:val="1EAC4C7B"/>
    <w:rsid w:val="1F1B1488"/>
    <w:rsid w:val="1F4D1E1D"/>
    <w:rsid w:val="200B3F5A"/>
    <w:rsid w:val="206D2E05"/>
    <w:rsid w:val="20E51F42"/>
    <w:rsid w:val="210E7527"/>
    <w:rsid w:val="23491BB0"/>
    <w:rsid w:val="23B411DF"/>
    <w:rsid w:val="25642A4A"/>
    <w:rsid w:val="27826AB2"/>
    <w:rsid w:val="27D74F47"/>
    <w:rsid w:val="28C46279"/>
    <w:rsid w:val="2910443B"/>
    <w:rsid w:val="296334F2"/>
    <w:rsid w:val="2AD4350B"/>
    <w:rsid w:val="2B7C4A89"/>
    <w:rsid w:val="2BF6672C"/>
    <w:rsid w:val="2C0545C3"/>
    <w:rsid w:val="2C1139D3"/>
    <w:rsid w:val="2C5A068B"/>
    <w:rsid w:val="2DA52FC1"/>
    <w:rsid w:val="2DDF5A78"/>
    <w:rsid w:val="2E105DEC"/>
    <w:rsid w:val="2FCC2D0C"/>
    <w:rsid w:val="3004756F"/>
    <w:rsid w:val="30CA43CE"/>
    <w:rsid w:val="30EB33E1"/>
    <w:rsid w:val="316D0A81"/>
    <w:rsid w:val="31B46D95"/>
    <w:rsid w:val="324336DE"/>
    <w:rsid w:val="32663171"/>
    <w:rsid w:val="32B82026"/>
    <w:rsid w:val="33CC3E48"/>
    <w:rsid w:val="34EA50C0"/>
    <w:rsid w:val="35205003"/>
    <w:rsid w:val="35782431"/>
    <w:rsid w:val="35F76A64"/>
    <w:rsid w:val="36C711CB"/>
    <w:rsid w:val="381E3E29"/>
    <w:rsid w:val="38397CBC"/>
    <w:rsid w:val="38701D47"/>
    <w:rsid w:val="3880071F"/>
    <w:rsid w:val="39DD550E"/>
    <w:rsid w:val="39F746E5"/>
    <w:rsid w:val="3A3B0B5F"/>
    <w:rsid w:val="3C4A2CA0"/>
    <w:rsid w:val="3CD00E58"/>
    <w:rsid w:val="3CDB1954"/>
    <w:rsid w:val="3DD00224"/>
    <w:rsid w:val="3E7358B0"/>
    <w:rsid w:val="3E9D48DD"/>
    <w:rsid w:val="3EBE3A24"/>
    <w:rsid w:val="3EDF110F"/>
    <w:rsid w:val="3F4B7363"/>
    <w:rsid w:val="4010461C"/>
    <w:rsid w:val="40966D41"/>
    <w:rsid w:val="412B15D8"/>
    <w:rsid w:val="41F617EA"/>
    <w:rsid w:val="426D1EE1"/>
    <w:rsid w:val="42CC03BF"/>
    <w:rsid w:val="44182D99"/>
    <w:rsid w:val="441F577B"/>
    <w:rsid w:val="47393DF4"/>
    <w:rsid w:val="475950F1"/>
    <w:rsid w:val="48754004"/>
    <w:rsid w:val="489E2B05"/>
    <w:rsid w:val="48DE208D"/>
    <w:rsid w:val="49C13104"/>
    <w:rsid w:val="4AF627C9"/>
    <w:rsid w:val="4B0A676C"/>
    <w:rsid w:val="4CC202EA"/>
    <w:rsid w:val="4DF46A7B"/>
    <w:rsid w:val="4EB15812"/>
    <w:rsid w:val="4F5166AD"/>
    <w:rsid w:val="4F7A7136"/>
    <w:rsid w:val="4F906E1A"/>
    <w:rsid w:val="4FE319FB"/>
    <w:rsid w:val="505D47E5"/>
    <w:rsid w:val="505F0858"/>
    <w:rsid w:val="50A349EB"/>
    <w:rsid w:val="50BE4B09"/>
    <w:rsid w:val="512E02BD"/>
    <w:rsid w:val="51320F32"/>
    <w:rsid w:val="51A72595"/>
    <w:rsid w:val="51AA6F6E"/>
    <w:rsid w:val="51CE76CE"/>
    <w:rsid w:val="52A30E0D"/>
    <w:rsid w:val="53330795"/>
    <w:rsid w:val="55A93F36"/>
    <w:rsid w:val="56C11D78"/>
    <w:rsid w:val="5A2C44FF"/>
    <w:rsid w:val="5A806F62"/>
    <w:rsid w:val="5B09771E"/>
    <w:rsid w:val="5B6B41BE"/>
    <w:rsid w:val="5C880CCF"/>
    <w:rsid w:val="5CB1567D"/>
    <w:rsid w:val="5F160D3B"/>
    <w:rsid w:val="5F3C6126"/>
    <w:rsid w:val="6070600C"/>
    <w:rsid w:val="60940AF0"/>
    <w:rsid w:val="60945577"/>
    <w:rsid w:val="60E5134B"/>
    <w:rsid w:val="612777CF"/>
    <w:rsid w:val="612C4D85"/>
    <w:rsid w:val="62863F65"/>
    <w:rsid w:val="64967707"/>
    <w:rsid w:val="65CE1D51"/>
    <w:rsid w:val="664D015B"/>
    <w:rsid w:val="665A1E94"/>
    <w:rsid w:val="66862210"/>
    <w:rsid w:val="691B5192"/>
    <w:rsid w:val="69677DF1"/>
    <w:rsid w:val="6A750417"/>
    <w:rsid w:val="6B4F7A71"/>
    <w:rsid w:val="6C21464F"/>
    <w:rsid w:val="6C54429F"/>
    <w:rsid w:val="6C907237"/>
    <w:rsid w:val="6D877A12"/>
    <w:rsid w:val="6DA37242"/>
    <w:rsid w:val="6E356AAE"/>
    <w:rsid w:val="6F34479D"/>
    <w:rsid w:val="6FF6139C"/>
    <w:rsid w:val="70E61A3D"/>
    <w:rsid w:val="72C35EE5"/>
    <w:rsid w:val="732A5631"/>
    <w:rsid w:val="738B6F57"/>
    <w:rsid w:val="744E2EBD"/>
    <w:rsid w:val="75785713"/>
    <w:rsid w:val="761722A8"/>
    <w:rsid w:val="770A2F46"/>
    <w:rsid w:val="78C0202A"/>
    <w:rsid w:val="790A4FB4"/>
    <w:rsid w:val="792D52F2"/>
    <w:rsid w:val="79690914"/>
    <w:rsid w:val="7A2F79C3"/>
    <w:rsid w:val="7A7F41C0"/>
    <w:rsid w:val="7AFD30F3"/>
    <w:rsid w:val="7B02692A"/>
    <w:rsid w:val="7B0835AF"/>
    <w:rsid w:val="7CE91B65"/>
    <w:rsid w:val="7CFD59BD"/>
    <w:rsid w:val="7D09096C"/>
    <w:rsid w:val="7E247C73"/>
    <w:rsid w:val="7E281E48"/>
    <w:rsid w:val="7E8E4C28"/>
    <w:rsid w:val="7EC72452"/>
    <w:rsid w:val="7FE83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autoRedefine/>
    <w:qFormat/>
    <w:uiPriority w:val="0"/>
    <w:pPr>
      <w:keepNext/>
      <w:keepLines/>
      <w:autoSpaceDE w:val="0"/>
      <w:autoSpaceDN w:val="0"/>
      <w:spacing w:beforeLines="0" w:afterLines="0" w:line="360" w:lineRule="auto"/>
      <w:jc w:val="center"/>
      <w:outlineLvl w:val="0"/>
    </w:pPr>
    <w:rPr>
      <w:rFonts w:ascii="Times New Roman" w:hAnsi="Times New Roman" w:eastAsia="宋体"/>
      <w:b/>
      <w:bCs/>
      <w:snapToGrid w:val="0"/>
      <w:color w:val="000000"/>
      <w:kern w:val="44"/>
      <w:sz w:val="36"/>
      <w:szCs w:val="44"/>
      <w:lang w:eastAsia="en-US"/>
    </w:rPr>
  </w:style>
  <w:style w:type="paragraph" w:styleId="3">
    <w:name w:val="heading 2"/>
    <w:basedOn w:val="1"/>
    <w:next w:val="1"/>
    <w:link w:val="19"/>
    <w:autoRedefine/>
    <w:semiHidden/>
    <w:unhideWhenUsed/>
    <w:qFormat/>
    <w:uiPriority w:val="0"/>
    <w:pPr>
      <w:keepNext/>
      <w:widowControl w:val="0"/>
      <w:spacing w:line="360" w:lineRule="auto"/>
      <w:jc w:val="center"/>
      <w:outlineLvl w:val="1"/>
    </w:pPr>
    <w:rPr>
      <w:rFonts w:ascii="黑体" w:hAnsi="黑体" w:eastAsia="宋体"/>
      <w:b/>
      <w:snapToGrid w:val="0"/>
      <w:color w:val="000000"/>
      <w:kern w:val="2"/>
      <w:sz w:val="32"/>
      <w:szCs w:val="21"/>
      <w:lang w:eastAsia="en-US"/>
    </w:rPr>
  </w:style>
  <w:style w:type="paragraph" w:styleId="4">
    <w:name w:val="heading 3"/>
    <w:basedOn w:val="1"/>
    <w:next w:val="1"/>
    <w:link w:val="22"/>
    <w:autoRedefine/>
    <w:semiHidden/>
    <w:unhideWhenUsed/>
    <w:qFormat/>
    <w:uiPriority w:val="0"/>
    <w:pPr>
      <w:spacing w:line="360" w:lineRule="auto"/>
      <w:ind w:left="0" w:firstLine="0"/>
      <w:jc w:val="center"/>
      <w:outlineLvl w:val="2"/>
    </w:pPr>
    <w:rPr>
      <w:rFonts w:ascii="黑体" w:hAnsi="黑体" w:eastAsia="仿宋" w:cs="黑体"/>
      <w:b/>
      <w:snapToGrid w:val="0"/>
      <w:color w:val="000000"/>
      <w:kern w:val="2"/>
      <w:sz w:val="32"/>
      <w:szCs w:val="32"/>
      <w:lang w:val="zh-CN" w:eastAsia="en-US" w:bidi="zh-CN"/>
    </w:rPr>
  </w:style>
  <w:style w:type="paragraph" w:styleId="5">
    <w:name w:val="heading 4"/>
    <w:basedOn w:val="1"/>
    <w:next w:val="1"/>
    <w:link w:val="20"/>
    <w:autoRedefine/>
    <w:semiHidden/>
    <w:unhideWhenUsed/>
    <w:qFormat/>
    <w:uiPriority w:val="0"/>
    <w:pPr>
      <w:spacing w:line="360" w:lineRule="auto"/>
      <w:ind w:left="0" w:firstLine="0"/>
      <w:jc w:val="left"/>
      <w:outlineLvl w:val="3"/>
    </w:pPr>
    <w:rPr>
      <w:rFonts w:ascii="Times New Roman" w:hAnsi="Times New Roman" w:eastAsia="宋体" w:cs="Times New Roman"/>
      <w:b/>
      <w:bCs/>
      <w:kern w:val="2"/>
      <w:sz w:val="28"/>
      <w:szCs w:val="28"/>
    </w:rPr>
  </w:style>
  <w:style w:type="paragraph" w:styleId="6">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outlineLvl w:val="4"/>
    </w:pPr>
    <w:rPr>
      <w:b/>
      <w:sz w:val="28"/>
    </w:rPr>
  </w:style>
  <w:style w:type="paragraph" w:styleId="7">
    <w:name w:val="heading 6"/>
    <w:basedOn w:val="1"/>
    <w:next w:val="1"/>
    <w:link w:val="23"/>
    <w:autoRedefine/>
    <w:semiHidden/>
    <w:unhideWhenUsed/>
    <w:qFormat/>
    <w:uiPriority w:val="0"/>
    <w:pPr>
      <w:spacing w:line="360" w:lineRule="auto"/>
      <w:ind w:left="0"/>
      <w:outlineLvl w:val="5"/>
    </w:pPr>
    <w:rPr>
      <w:rFonts w:ascii="宋体" w:hAnsi="宋体" w:eastAsia="宋体" w:cs="宋体"/>
      <w:b/>
      <w:bCs/>
      <w:sz w:val="28"/>
      <w:szCs w:val="28"/>
      <w:lang w:val="zh-CN" w:bidi="zh-CN"/>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18">
    <w:name w:val="Default Paragraph Font"/>
    <w:autoRedefine/>
    <w:semiHidden/>
    <w:unhideWhenUsed/>
    <w:qFormat/>
    <w:uiPriority w:val="1"/>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Indent"/>
    <w:basedOn w:val="1"/>
    <w:qFormat/>
    <w:uiPriority w:val="0"/>
    <w:pPr>
      <w:spacing w:line="360" w:lineRule="auto"/>
      <w:ind w:firstLine="440"/>
    </w:pPr>
    <w:rPr>
      <w:sz w:val="22"/>
      <w:szCs w:val="20"/>
    </w:rPr>
  </w:style>
  <w:style w:type="paragraph" w:styleId="13">
    <w:name w:val="toc 3"/>
    <w:basedOn w:val="1"/>
    <w:next w:val="1"/>
    <w:autoRedefine/>
    <w:qFormat/>
    <w:uiPriority w:val="0"/>
    <w:pPr>
      <w:spacing w:line="360" w:lineRule="auto"/>
      <w:ind w:left="420" w:leftChars="200" w:firstLine="0" w:firstLineChars="0"/>
    </w:pPr>
    <w:rPr>
      <w:rFonts w:ascii="Times New Roman" w:hAnsi="Times New Roman" w:eastAsia="仿宋" w:cs="Times New Roman"/>
      <w:b/>
      <w:kern w:val="2"/>
      <w:sz w:val="30"/>
      <w:szCs w:val="21"/>
    </w:rPr>
  </w:style>
  <w:style w:type="paragraph" w:styleId="14">
    <w:name w:val="toc 1"/>
    <w:basedOn w:val="1"/>
    <w:next w:val="1"/>
    <w:autoRedefine/>
    <w:qFormat/>
    <w:uiPriority w:val="0"/>
    <w:pPr>
      <w:tabs>
        <w:tab w:val="right" w:leader="dot" w:pos="9060"/>
      </w:tabs>
      <w:spacing w:line="360" w:lineRule="auto"/>
    </w:pPr>
    <w:rPr>
      <w:rFonts w:ascii="Times New Roman" w:hAnsi="Times New Roman" w:eastAsia="宋体" w:cs="Times New Roman"/>
      <w:b/>
      <w:snapToGrid w:val="0"/>
      <w:color w:val="000000"/>
      <w:kern w:val="2"/>
      <w:sz w:val="28"/>
      <w:szCs w:val="21"/>
      <w:lang w:eastAsia="en-US"/>
    </w:rPr>
  </w:style>
  <w:style w:type="paragraph" w:styleId="15">
    <w:name w:val="Subtitle"/>
    <w:basedOn w:val="1"/>
    <w:autoRedefine/>
    <w:qFormat/>
    <w:uiPriority w:val="0"/>
    <w:pPr>
      <w:numPr>
        <w:ilvl w:val="2"/>
        <w:numId w:val="2"/>
      </w:numPr>
      <w:spacing w:before="240" w:beforeLines="0" w:beforeAutospacing="0" w:after="60" w:afterLines="0" w:afterAutospacing="0" w:line="312" w:lineRule="auto"/>
      <w:jc w:val="center"/>
      <w:outlineLvl w:val="1"/>
    </w:pPr>
    <w:rPr>
      <w:rFonts w:ascii="Arial" w:hAnsi="Arial"/>
      <w:b/>
      <w:kern w:val="28"/>
      <w:sz w:val="32"/>
    </w:rPr>
  </w:style>
  <w:style w:type="paragraph" w:styleId="16">
    <w:name w:val="toc 2"/>
    <w:basedOn w:val="1"/>
    <w:next w:val="1"/>
    <w:autoRedefine/>
    <w:qFormat/>
    <w:uiPriority w:val="0"/>
    <w:pPr>
      <w:tabs>
        <w:tab w:val="right" w:leader="dot" w:pos="9060"/>
      </w:tabs>
      <w:spacing w:line="360" w:lineRule="auto"/>
      <w:ind w:left="210" w:leftChars="100" w:firstLine="0" w:firstLineChars="0"/>
    </w:pPr>
    <w:rPr>
      <w:rFonts w:ascii="Times New Roman" w:hAnsi="Times New Roman" w:eastAsia="宋体" w:cs="Times New Roman"/>
      <w:b/>
      <w:snapToGrid w:val="0"/>
      <w:color w:val="000000"/>
      <w:kern w:val="2"/>
      <w:sz w:val="28"/>
      <w:szCs w:val="21"/>
      <w:lang w:eastAsia="en-US"/>
    </w:rPr>
  </w:style>
  <w:style w:type="character" w:customStyle="1" w:styleId="19">
    <w:name w:val="标题 2 Char"/>
    <w:link w:val="3"/>
    <w:autoRedefine/>
    <w:qFormat/>
    <w:uiPriority w:val="0"/>
    <w:rPr>
      <w:rFonts w:ascii="Arial" w:hAnsi="Arial" w:eastAsia="宋体" w:cs="Times New Roman"/>
      <w:b/>
      <w:bCs/>
      <w:snapToGrid w:val="0"/>
      <w:color w:val="000000"/>
      <w:kern w:val="2"/>
      <w:sz w:val="32"/>
      <w:szCs w:val="21"/>
      <w:lang w:eastAsia="en-US"/>
    </w:rPr>
  </w:style>
  <w:style w:type="character" w:customStyle="1" w:styleId="20">
    <w:name w:val="标题 4 Char"/>
    <w:link w:val="5"/>
    <w:autoRedefine/>
    <w:qFormat/>
    <w:uiPriority w:val="9"/>
    <w:rPr>
      <w:rFonts w:ascii="Times New Roman" w:hAnsi="Times New Roman" w:eastAsia="宋体" w:cs="Times New Roman"/>
      <w:b/>
      <w:snapToGrid w:val="0"/>
      <w:color w:val="000000"/>
      <w:kern w:val="2"/>
      <w:sz w:val="28"/>
      <w:szCs w:val="21"/>
      <w:u w:val="none"/>
      <w:lang w:val="zh-CN" w:eastAsia="en-US" w:bidi="zh-CN"/>
    </w:rPr>
  </w:style>
  <w:style w:type="character" w:customStyle="1" w:styleId="21">
    <w:name w:val="标题 1 字符"/>
    <w:link w:val="2"/>
    <w:autoRedefine/>
    <w:qFormat/>
    <w:uiPriority w:val="0"/>
    <w:rPr>
      <w:rFonts w:ascii="Times New Roman" w:hAnsi="Times New Roman" w:eastAsia="宋体" w:cs="Times New Roman"/>
      <w:b/>
      <w:bCs/>
      <w:snapToGrid w:val="0"/>
      <w:color w:val="000000"/>
      <w:kern w:val="2"/>
      <w:sz w:val="36"/>
      <w:szCs w:val="36"/>
      <w:lang w:val="zh-CN" w:eastAsia="en-US" w:bidi="zh-CN"/>
    </w:rPr>
  </w:style>
  <w:style w:type="character" w:customStyle="1" w:styleId="22">
    <w:name w:val="标题 3 字符"/>
    <w:link w:val="4"/>
    <w:autoRedefine/>
    <w:qFormat/>
    <w:uiPriority w:val="0"/>
    <w:rPr>
      <w:rFonts w:ascii="黑体" w:hAnsi="黑体" w:eastAsia="仿宋" w:cs="黑体"/>
      <w:b/>
      <w:snapToGrid w:val="0"/>
      <w:color w:val="000000"/>
      <w:kern w:val="2"/>
      <w:sz w:val="30"/>
      <w:szCs w:val="32"/>
      <w:lang w:val="zh-CN" w:eastAsia="en-US" w:bidi="zh-CN"/>
    </w:rPr>
  </w:style>
  <w:style w:type="character" w:customStyle="1" w:styleId="23">
    <w:name w:val="标题 6 字符"/>
    <w:link w:val="7"/>
    <w:autoRedefine/>
    <w:qFormat/>
    <w:uiPriority w:val="0"/>
    <w:rPr>
      <w:rFonts w:ascii="宋体" w:hAnsi="宋体" w:eastAsia="宋体" w:cs="宋体"/>
      <w:b/>
      <w:bCs/>
      <w:kern w:val="0"/>
      <w:sz w:val="28"/>
      <w:szCs w:val="28"/>
      <w:lang w:val="zh-CN" w:bidi="zh-CN"/>
    </w:rPr>
  </w:style>
  <w:style w:type="paragraph" w:customStyle="1" w:styleId="24">
    <w:name w:val="小标"/>
    <w:basedOn w:val="1"/>
    <w:qFormat/>
    <w:uiPriority w:val="0"/>
    <w:pPr>
      <w:autoSpaceDE w:val="0"/>
      <w:autoSpaceDN w:val="0"/>
      <w:adjustRightInd w:val="0"/>
      <w:spacing w:line="288" w:lineRule="auto"/>
      <w:ind w:firstLine="480"/>
      <w:jc w:val="left"/>
      <w:textAlignment w:val="baseline"/>
    </w:pPr>
    <w:rPr>
      <w:rFonts w:ascii="黑体" w:eastAsia="黑体"/>
      <w:kern w:val="0"/>
      <w:sz w:val="28"/>
      <w:szCs w:val="20"/>
    </w:rPr>
  </w:style>
  <w:style w:type="paragraph" w:customStyle="1" w:styleId="25">
    <w:name w:val="正文1"/>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26">
    <w:name w:val="大分"/>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2025-05-12T09:10:00Z</dcterms:created>
  <dc:creator>【@&amp;％$¥￡】</dc:creator>
  <cp:lastModifiedBy>【@&amp;％$¥￡】</cp:lastModifiedBy>
  <dcterms:modified xsi:type="dcterms:W3CDTF">2025-05-12T09:10:18Z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224700BB30424E78A4173C3F2BC1E855_11</vt:lpwstr>
  </property>
  <property fmtid="{D5CDD505-2E9C-101B-9397-08002B2CF9AE}" pid="4" name="KSOTemplateDocerSaveRecord">
    <vt:lpwstr>eyJoZGlkIjoiN2U4ZjljYzY4MDMwOGQ1Y2M1ZjUzMWU4ZDk0N2NmMTQiLCJ1c2VySWQiOiIzNTUxMjI1MjEifQ==</vt:lpwstr>
  </property>
</Properties>
</file>