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3" w:line="223" w:lineRule="auto"/>
        <w:jc w:val="center"/>
        <w:rPr>
          <w:rFonts w:hint="eastAsia"/>
          <w:b/>
          <w:bCs/>
          <w:spacing w:val="3"/>
          <w:sz w:val="47"/>
          <w:szCs w:val="47"/>
          <w:highlight w:val="none"/>
          <w:lang w:eastAsia="zh-CN"/>
        </w:rPr>
      </w:pPr>
    </w:p>
    <w:p>
      <w:pPr>
        <w:pStyle w:val="2"/>
        <w:spacing w:before="153" w:line="223" w:lineRule="auto"/>
        <w:jc w:val="center"/>
        <w:rPr>
          <w:rFonts w:hint="eastAsia"/>
          <w:b/>
          <w:bCs/>
          <w:spacing w:val="3"/>
          <w:sz w:val="47"/>
          <w:szCs w:val="47"/>
          <w:highlight w:val="none"/>
          <w:lang w:eastAsia="zh-CN"/>
        </w:rPr>
      </w:pPr>
    </w:p>
    <w:p>
      <w:pPr>
        <w:pStyle w:val="2"/>
        <w:spacing w:before="153" w:line="223" w:lineRule="auto"/>
        <w:jc w:val="center"/>
        <w:rPr>
          <w:rFonts w:hint="eastAsia"/>
          <w:b/>
          <w:bCs/>
          <w:spacing w:val="3"/>
          <w:sz w:val="47"/>
          <w:szCs w:val="47"/>
          <w:highlight w:val="none"/>
          <w:lang w:eastAsia="zh-CN"/>
        </w:rPr>
      </w:pPr>
    </w:p>
    <w:p>
      <w:pPr>
        <w:pStyle w:val="2"/>
        <w:spacing w:before="153" w:line="223" w:lineRule="auto"/>
        <w:jc w:val="center"/>
        <w:rPr>
          <w:rFonts w:hint="eastAsia"/>
          <w:sz w:val="43"/>
          <w:szCs w:val="43"/>
          <w:highlight w:val="none"/>
          <w:lang w:eastAsia="zh-CN"/>
        </w:rPr>
      </w:pPr>
      <w:r>
        <w:rPr>
          <w:rFonts w:hint="eastAsia"/>
          <w:b/>
          <w:bCs/>
          <w:spacing w:val="3"/>
          <w:sz w:val="47"/>
          <w:szCs w:val="47"/>
          <w:highlight w:val="none"/>
          <w:lang w:eastAsia="zh-CN"/>
        </w:rPr>
        <w:t>延安大学科研实验仪器购置采购项目</w:t>
      </w:r>
    </w:p>
    <w:p>
      <w:pPr>
        <w:spacing w:line="241" w:lineRule="auto"/>
        <w:rPr>
          <w:rFonts w:ascii="Arial"/>
          <w:highlight w:val="none"/>
        </w:rPr>
      </w:pPr>
    </w:p>
    <w:p>
      <w:pPr>
        <w:spacing w:line="241" w:lineRule="auto"/>
        <w:rPr>
          <w:rFonts w:ascii="Arial"/>
          <w:highlight w:val="none"/>
        </w:rPr>
      </w:pPr>
    </w:p>
    <w:p>
      <w:pPr>
        <w:pStyle w:val="2"/>
        <w:spacing w:before="231" w:line="221" w:lineRule="auto"/>
        <w:jc w:val="center"/>
        <w:rPr>
          <w:b/>
          <w:bCs/>
          <w:spacing w:val="-27"/>
          <w:sz w:val="71"/>
          <w:szCs w:val="71"/>
          <w:highlight w:val="none"/>
          <w:lang w:eastAsia="zh-CN"/>
        </w:rPr>
      </w:pPr>
    </w:p>
    <w:p>
      <w:pPr>
        <w:pStyle w:val="2"/>
        <w:spacing w:before="231" w:line="221" w:lineRule="auto"/>
        <w:jc w:val="center"/>
        <w:rPr>
          <w:rFonts w:hint="eastAsia"/>
          <w:sz w:val="71"/>
          <w:szCs w:val="71"/>
          <w:highlight w:val="none"/>
          <w:lang w:eastAsia="zh-CN"/>
        </w:rPr>
      </w:pPr>
      <w:r>
        <w:rPr>
          <w:b/>
          <w:bCs/>
          <w:spacing w:val="-27"/>
          <w:sz w:val="71"/>
          <w:szCs w:val="71"/>
          <w:highlight w:val="none"/>
          <w:lang w:eastAsia="zh-CN"/>
        </w:rPr>
        <w:t>供</w:t>
      </w:r>
      <w:r>
        <w:rPr>
          <w:spacing w:val="55"/>
          <w:sz w:val="71"/>
          <w:szCs w:val="71"/>
          <w:highlight w:val="none"/>
          <w:lang w:eastAsia="zh-CN"/>
        </w:rPr>
        <w:t xml:space="preserve"> </w:t>
      </w:r>
      <w:r>
        <w:rPr>
          <w:b/>
          <w:bCs/>
          <w:spacing w:val="-27"/>
          <w:sz w:val="71"/>
          <w:szCs w:val="71"/>
          <w:highlight w:val="none"/>
          <w:lang w:eastAsia="zh-CN"/>
        </w:rPr>
        <w:t>货</w:t>
      </w:r>
      <w:r>
        <w:rPr>
          <w:spacing w:val="41"/>
          <w:sz w:val="71"/>
          <w:szCs w:val="71"/>
          <w:highlight w:val="none"/>
          <w:lang w:eastAsia="zh-CN"/>
        </w:rPr>
        <w:t xml:space="preserve"> </w:t>
      </w:r>
      <w:r>
        <w:rPr>
          <w:b/>
          <w:bCs/>
          <w:spacing w:val="-27"/>
          <w:sz w:val="71"/>
          <w:szCs w:val="71"/>
          <w:highlight w:val="none"/>
          <w:lang w:eastAsia="zh-CN"/>
        </w:rPr>
        <w:t>合</w:t>
      </w:r>
      <w:r>
        <w:rPr>
          <w:spacing w:val="108"/>
          <w:sz w:val="71"/>
          <w:szCs w:val="71"/>
          <w:highlight w:val="none"/>
          <w:lang w:eastAsia="zh-CN"/>
        </w:rPr>
        <w:t xml:space="preserve"> </w:t>
      </w:r>
      <w:r>
        <w:rPr>
          <w:b/>
          <w:bCs/>
          <w:spacing w:val="-27"/>
          <w:sz w:val="71"/>
          <w:szCs w:val="71"/>
          <w:highlight w:val="none"/>
          <w:lang w:eastAsia="zh-CN"/>
        </w:rPr>
        <w:t>同</w:t>
      </w:r>
    </w:p>
    <w:p>
      <w:pPr>
        <w:pStyle w:val="2"/>
        <w:spacing w:before="20" w:line="219" w:lineRule="auto"/>
        <w:ind w:left="2124"/>
        <w:rPr>
          <w:rFonts w:hint="eastAsia"/>
          <w:sz w:val="30"/>
          <w:szCs w:val="30"/>
          <w:highlight w:val="none"/>
          <w:lang w:eastAsia="zh-CN"/>
        </w:rPr>
      </w:pPr>
      <w:r>
        <w:rPr>
          <w:b/>
          <w:bCs/>
          <w:spacing w:val="-6"/>
          <w:sz w:val="30"/>
          <w:szCs w:val="30"/>
          <w:highlight w:val="none"/>
          <w:lang w:eastAsia="zh-CN"/>
        </w:rPr>
        <w:t>（</w:t>
      </w:r>
      <w:r>
        <w:rPr>
          <w:spacing w:val="-6"/>
          <w:sz w:val="30"/>
          <w:szCs w:val="30"/>
          <w:highlight w:val="none"/>
          <w:lang w:eastAsia="zh-CN"/>
        </w:rPr>
        <w:t>项目编号</w:t>
      </w:r>
      <w:r>
        <w:rPr>
          <w:b/>
          <w:bCs/>
          <w:spacing w:val="-3"/>
          <w:sz w:val="30"/>
          <w:szCs w:val="30"/>
          <w:highlight w:val="none"/>
          <w:lang w:eastAsia="zh-CN"/>
        </w:rPr>
        <w:t>：</w:t>
      </w:r>
      <w:r>
        <w:rPr>
          <w:sz w:val="30"/>
          <w:szCs w:val="30"/>
          <w:highlight w:val="none"/>
          <w:lang w:eastAsia="zh-CN"/>
        </w:rPr>
        <w:t xml:space="preserve">           </w:t>
      </w:r>
      <w:r>
        <w:rPr>
          <w:b/>
          <w:bCs/>
          <w:spacing w:val="-3"/>
          <w:sz w:val="30"/>
          <w:szCs w:val="30"/>
          <w:highlight w:val="none"/>
          <w:lang w:eastAsia="zh-CN"/>
        </w:rPr>
        <w:t>）</w:t>
      </w:r>
    </w:p>
    <w:p>
      <w:pPr>
        <w:spacing w:line="268" w:lineRule="auto"/>
        <w:rPr>
          <w:rFonts w:ascii="Arial"/>
          <w:highlight w:val="none"/>
        </w:rPr>
      </w:pPr>
    </w:p>
    <w:p>
      <w:pPr>
        <w:spacing w:line="268" w:lineRule="auto"/>
        <w:rPr>
          <w:rFonts w:ascii="Arial"/>
          <w:highlight w:val="none"/>
        </w:rPr>
      </w:pPr>
    </w:p>
    <w:p>
      <w:pPr>
        <w:spacing w:line="268" w:lineRule="auto"/>
        <w:rPr>
          <w:rFonts w:ascii="Arial"/>
          <w:highlight w:val="none"/>
        </w:rPr>
      </w:pPr>
    </w:p>
    <w:p>
      <w:pPr>
        <w:spacing w:line="269" w:lineRule="auto"/>
        <w:rPr>
          <w:rFonts w:ascii="Arial"/>
          <w:highlight w:val="none"/>
        </w:rPr>
      </w:pPr>
    </w:p>
    <w:p>
      <w:pPr>
        <w:spacing w:line="269" w:lineRule="auto"/>
        <w:rPr>
          <w:rFonts w:ascii="Arial"/>
          <w:highlight w:val="none"/>
        </w:rPr>
      </w:pPr>
    </w:p>
    <w:p>
      <w:pPr>
        <w:spacing w:line="269" w:lineRule="auto"/>
        <w:rPr>
          <w:rFonts w:ascii="Arial"/>
          <w:highlight w:val="none"/>
        </w:rPr>
      </w:pPr>
    </w:p>
    <w:p>
      <w:pPr>
        <w:pStyle w:val="2"/>
        <w:spacing w:before="101" w:line="225" w:lineRule="auto"/>
        <w:ind w:left="2143"/>
        <w:rPr>
          <w:rFonts w:hint="eastAsia"/>
          <w:spacing w:val="4"/>
          <w:sz w:val="31"/>
          <w:szCs w:val="31"/>
          <w:highlight w:val="none"/>
          <w:lang w:eastAsia="zh-CN"/>
        </w:rPr>
      </w:pPr>
    </w:p>
    <w:p>
      <w:pPr>
        <w:pStyle w:val="2"/>
        <w:spacing w:before="101" w:line="225" w:lineRule="auto"/>
        <w:ind w:left="2143"/>
        <w:rPr>
          <w:rFonts w:hint="eastAsia"/>
          <w:sz w:val="31"/>
          <w:szCs w:val="31"/>
          <w:highlight w:val="none"/>
          <w:lang w:eastAsia="zh-CN"/>
        </w:rPr>
      </w:pPr>
      <w:r>
        <w:rPr>
          <w:spacing w:val="4"/>
          <w:sz w:val="31"/>
          <w:szCs w:val="31"/>
          <w:highlight w:val="none"/>
          <w:lang w:eastAsia="zh-CN"/>
        </w:rPr>
        <w:t>甲  方：</w:t>
      </w:r>
      <w:r>
        <w:rPr>
          <w:rFonts w:hint="eastAsia"/>
          <w:spacing w:val="4"/>
          <w:sz w:val="31"/>
          <w:szCs w:val="31"/>
          <w:highlight w:val="none"/>
          <w:lang w:eastAsia="zh-CN"/>
        </w:rPr>
        <w:t>延安大学</w:t>
      </w:r>
    </w:p>
    <w:p>
      <w:pPr>
        <w:pStyle w:val="2"/>
        <w:spacing w:before="38" w:line="358" w:lineRule="auto"/>
        <w:ind w:left="2106" w:right="4455" w:firstLine="27"/>
        <w:rPr>
          <w:rFonts w:hint="eastAsia"/>
          <w:sz w:val="31"/>
          <w:szCs w:val="31"/>
          <w:highlight w:val="none"/>
          <w:lang w:eastAsia="zh-CN"/>
        </w:rPr>
      </w:pPr>
      <w:r>
        <w:rPr>
          <w:spacing w:val="1"/>
          <w:sz w:val="31"/>
          <w:szCs w:val="31"/>
          <w:highlight w:val="none"/>
          <w:lang w:eastAsia="zh-CN"/>
        </w:rPr>
        <w:t>乙</w:t>
      </w:r>
      <w:r>
        <w:rPr>
          <w:spacing w:val="12"/>
          <w:sz w:val="31"/>
          <w:szCs w:val="31"/>
          <w:highlight w:val="none"/>
          <w:lang w:eastAsia="zh-CN"/>
        </w:rPr>
        <w:t xml:space="preserve">  </w:t>
      </w:r>
      <w:r>
        <w:rPr>
          <w:spacing w:val="1"/>
          <w:sz w:val="31"/>
          <w:szCs w:val="31"/>
          <w:highlight w:val="none"/>
          <w:lang w:eastAsia="zh-CN"/>
        </w:rPr>
        <w:t>方：</w:t>
      </w:r>
    </w:p>
    <w:p>
      <w:pPr>
        <w:spacing w:line="249" w:lineRule="auto"/>
        <w:rPr>
          <w:rFonts w:ascii="Arial"/>
          <w:highlight w:val="none"/>
        </w:rPr>
      </w:pPr>
    </w:p>
    <w:p>
      <w:pPr>
        <w:pStyle w:val="2"/>
        <w:rPr>
          <w:rFonts w:hint="eastAsia" w:ascii="Arial"/>
          <w:sz w:val="21"/>
          <w:highlight w:val="none"/>
          <w:lang w:eastAsia="zh-CN"/>
        </w:rPr>
      </w:pPr>
    </w:p>
    <w:p>
      <w:pPr>
        <w:pStyle w:val="4"/>
        <w:ind w:firstLine="0" w:firstLineChars="0"/>
        <w:rPr>
          <w:rFonts w:hint="eastAsia" w:ascii="Arial"/>
          <w:sz w:val="21"/>
          <w:highlight w:val="none"/>
        </w:rPr>
      </w:pPr>
    </w:p>
    <w:p>
      <w:pPr>
        <w:spacing w:line="250" w:lineRule="auto"/>
        <w:rPr>
          <w:rFonts w:ascii="Arial"/>
          <w:highlight w:val="none"/>
        </w:rPr>
      </w:pPr>
    </w:p>
    <w:p>
      <w:pPr>
        <w:spacing w:line="250" w:lineRule="auto"/>
        <w:rPr>
          <w:rFonts w:ascii="Arial"/>
          <w:highlight w:val="none"/>
        </w:rPr>
      </w:pPr>
    </w:p>
    <w:p>
      <w:pPr>
        <w:pStyle w:val="4"/>
        <w:ind w:firstLine="0" w:firstLineChars="0"/>
        <w:jc w:val="center"/>
        <w:rPr>
          <w:rFonts w:hint="eastAsia" w:eastAsia="宋体" w:cs="Times New Roman"/>
          <w:b/>
          <w:bCs/>
          <w:sz w:val="28"/>
          <w:szCs w:val="28"/>
          <w:highlight w:val="none"/>
        </w:rPr>
      </w:pPr>
      <w:r>
        <w:rPr>
          <w:rFonts w:hint="eastAsia" w:eastAsia="宋体" w:cs="Times New Roman"/>
          <w:b/>
          <w:bCs/>
          <w:sz w:val="28"/>
          <w:szCs w:val="28"/>
          <w:highlight w:val="none"/>
        </w:rPr>
        <w:t>2025年*月</w:t>
      </w:r>
    </w:p>
    <w:p>
      <w:pPr>
        <w:rPr>
          <w:b/>
          <w:bCs/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</w:rPr>
        <w:br w:type="page"/>
      </w:r>
    </w:p>
    <w:p>
      <w:pPr>
        <w:pStyle w:val="2"/>
        <w:spacing w:before="114" w:line="224" w:lineRule="auto"/>
        <w:jc w:val="center"/>
        <w:rPr>
          <w:rFonts w:hint="eastAsia"/>
          <w:sz w:val="35"/>
          <w:szCs w:val="35"/>
          <w:highlight w:val="none"/>
          <w:lang w:eastAsia="zh-CN"/>
        </w:rPr>
      </w:pPr>
      <w:bookmarkStart w:id="0" w:name="_GoBack"/>
      <w:bookmarkEnd w:id="0"/>
      <w:r>
        <w:rPr>
          <w:b/>
          <w:bCs/>
          <w:spacing w:val="4"/>
          <w:sz w:val="35"/>
          <w:szCs w:val="35"/>
          <w:highlight w:val="none"/>
          <w:lang w:eastAsia="zh-CN"/>
        </w:rPr>
        <w:t>供货合同</w:t>
      </w:r>
      <w:r>
        <w:rPr>
          <w:rFonts w:hint="eastAsia"/>
          <w:b/>
          <w:bCs/>
          <w:spacing w:val="4"/>
          <w:sz w:val="35"/>
          <w:szCs w:val="35"/>
          <w:highlight w:val="none"/>
          <w:lang w:eastAsia="zh-CN"/>
        </w:rPr>
        <w:t>（</w:t>
      </w:r>
      <w:r>
        <w:rPr>
          <w:rFonts w:hint="eastAsia"/>
          <w:b/>
          <w:bCs/>
          <w:spacing w:val="4"/>
          <w:sz w:val="35"/>
          <w:szCs w:val="35"/>
          <w:highlight w:val="none"/>
          <w:lang w:val="en-US" w:eastAsia="zh-CN"/>
        </w:rPr>
        <w:t>仅供参考</w:t>
      </w:r>
      <w:r>
        <w:rPr>
          <w:rFonts w:hint="eastAsia"/>
          <w:b/>
          <w:bCs/>
          <w:spacing w:val="4"/>
          <w:sz w:val="35"/>
          <w:szCs w:val="35"/>
          <w:highlight w:val="none"/>
          <w:lang w:eastAsia="zh-CN"/>
        </w:rPr>
        <w:t>）</w:t>
      </w:r>
    </w:p>
    <w:p>
      <w:pPr>
        <w:spacing w:line="299" w:lineRule="auto"/>
        <w:rPr>
          <w:rFonts w:ascii="Arial"/>
          <w:highlight w:val="none"/>
        </w:rPr>
      </w:pPr>
    </w:p>
    <w:p>
      <w:pPr>
        <w:pStyle w:val="2"/>
        <w:spacing w:before="78" w:line="360" w:lineRule="auto"/>
        <w:ind w:left="44" w:right="1937" w:firstLine="7"/>
        <w:rPr>
          <w:rFonts w:hint="eastAsia" w:asciiTheme="majorEastAsia" w:hAnsiTheme="majorEastAsia" w:eastAsiaTheme="majorEastAsia" w:cstheme="majorEastAsia"/>
          <w:spacing w:val="-3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3"/>
          <w:sz w:val="24"/>
          <w:szCs w:val="24"/>
          <w:highlight w:val="none"/>
          <w:lang w:eastAsia="zh-CN"/>
        </w:rPr>
        <w:t>甲方（采购人）：</w:t>
      </w:r>
      <w:r>
        <w:rPr>
          <w:rFonts w:hint="eastAsia" w:asciiTheme="majorEastAsia" w:hAnsiTheme="majorEastAsia" w:eastAsiaTheme="majorEastAsia" w:cstheme="majorEastAsia"/>
          <w:spacing w:val="-3"/>
          <w:sz w:val="24"/>
          <w:szCs w:val="24"/>
          <w:highlight w:val="none"/>
          <w:u w:val="single"/>
          <w:lang w:eastAsia="zh-CN"/>
        </w:rPr>
        <w:t xml:space="preserve">                                        </w:t>
      </w:r>
    </w:p>
    <w:p>
      <w:pPr>
        <w:pStyle w:val="2"/>
        <w:spacing w:before="78" w:line="360" w:lineRule="auto"/>
        <w:ind w:left="44" w:right="1937" w:firstLine="7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6"/>
          <w:sz w:val="24"/>
          <w:szCs w:val="24"/>
          <w:highlight w:val="none"/>
          <w:lang w:eastAsia="zh-CN"/>
        </w:rPr>
        <w:t>乙方（成交供应商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  <w:t>）：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u w:val="single"/>
          <w:lang w:eastAsia="zh-CN"/>
        </w:rPr>
        <w:t xml:space="preserve">                                         </w:t>
      </w:r>
    </w:p>
    <w:p>
      <w:pPr>
        <w:pStyle w:val="2"/>
        <w:spacing w:before="157" w:line="360" w:lineRule="auto"/>
        <w:ind w:left="37" w:firstLine="466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3"/>
          <w:sz w:val="24"/>
          <w:szCs w:val="24"/>
          <w:highlight w:val="none"/>
          <w:lang w:eastAsia="zh-CN"/>
        </w:rPr>
        <w:t>为了保护甲、乙双方合法权益，根据《中华人民共和</w:t>
      </w: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国民法典》及其他有关法律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、法规、规章，双方签订本合同协议书。</w:t>
      </w:r>
    </w:p>
    <w:p>
      <w:pPr>
        <w:pStyle w:val="2"/>
        <w:spacing w:before="34" w:line="360" w:lineRule="auto"/>
        <w:ind w:left="504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4"/>
          <w:sz w:val="24"/>
          <w:szCs w:val="24"/>
          <w:highlight w:val="none"/>
          <w:lang w:eastAsia="zh-CN"/>
        </w:rPr>
        <w:t>一、合同组成部分</w:t>
      </w:r>
    </w:p>
    <w:p>
      <w:pPr>
        <w:pStyle w:val="2"/>
        <w:spacing w:before="177" w:line="360" w:lineRule="auto"/>
        <w:ind w:left="22" w:firstLine="485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下列文件为本合同的组成部分，并构成一个整体，需综合解释、相互补充。如果</w:t>
      </w:r>
      <w:r>
        <w:rPr>
          <w:rFonts w:hint="eastAsia" w:asciiTheme="majorEastAsia" w:hAnsiTheme="majorEastAsia" w:eastAsiaTheme="majorEastAsia" w:cstheme="majorEastAsia"/>
          <w:spacing w:val="-3"/>
          <w:sz w:val="24"/>
          <w:szCs w:val="24"/>
          <w:highlight w:val="none"/>
          <w:lang w:eastAsia="zh-CN"/>
        </w:rPr>
        <w:t>下列文件内容出现不一致的情形，那么在保证按照采购文件确定的事项的</w:t>
      </w: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前提下，组</w:t>
      </w: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成本合同的多个文件的优先适用顺序如下：</w:t>
      </w:r>
    </w:p>
    <w:p>
      <w:pPr>
        <w:pStyle w:val="2"/>
        <w:spacing w:before="37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（一）本合同及其补充合同、变更协议；</w:t>
      </w:r>
    </w:p>
    <w:p>
      <w:pPr>
        <w:pStyle w:val="2"/>
        <w:spacing w:before="176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3"/>
          <w:sz w:val="24"/>
          <w:szCs w:val="24"/>
          <w:highlight w:val="none"/>
          <w:lang w:eastAsia="zh-CN"/>
        </w:rPr>
        <w:t>（二）成交通知书；</w:t>
      </w:r>
    </w:p>
    <w:p>
      <w:pPr>
        <w:pStyle w:val="2"/>
        <w:spacing w:before="174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（三）竞争性谈判文件（含澄清或者说明文件</w:t>
      </w:r>
      <w:r>
        <w:rPr>
          <w:rFonts w:hint="eastAsia" w:asciiTheme="majorEastAsia" w:hAnsiTheme="majorEastAsia" w:eastAsiaTheme="majorEastAsia" w:cstheme="majorEastAsia"/>
          <w:spacing w:val="6"/>
          <w:sz w:val="24"/>
          <w:szCs w:val="24"/>
          <w:highlight w:val="none"/>
          <w:lang w:eastAsia="zh-CN"/>
        </w:rPr>
        <w:t>）；</w:t>
      </w:r>
    </w:p>
    <w:p>
      <w:pPr>
        <w:pStyle w:val="2"/>
        <w:spacing w:before="176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（四）响应文件（含澄清或者修改文件</w:t>
      </w:r>
      <w:r>
        <w:rPr>
          <w:rFonts w:hint="eastAsia" w:asciiTheme="majorEastAsia" w:hAnsiTheme="majorEastAsia" w:eastAsiaTheme="majorEastAsia" w:cstheme="majorEastAsia"/>
          <w:spacing w:val="6"/>
          <w:sz w:val="24"/>
          <w:szCs w:val="24"/>
          <w:highlight w:val="none"/>
          <w:lang w:eastAsia="zh-CN"/>
        </w:rPr>
        <w:t>）；</w:t>
      </w:r>
    </w:p>
    <w:p>
      <w:pPr>
        <w:pStyle w:val="2"/>
        <w:spacing w:before="176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（五）其他相关采购文件。</w:t>
      </w:r>
    </w:p>
    <w:p>
      <w:pPr>
        <w:pStyle w:val="2"/>
        <w:spacing w:before="174" w:line="360" w:lineRule="auto"/>
        <w:ind w:left="504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4"/>
          <w:sz w:val="24"/>
          <w:szCs w:val="24"/>
          <w:highlight w:val="none"/>
          <w:lang w:eastAsia="zh-CN"/>
        </w:rPr>
        <w:t>二、合同金额</w:t>
      </w:r>
    </w:p>
    <w:p>
      <w:pPr>
        <w:pStyle w:val="2"/>
        <w:spacing w:before="175" w:line="360" w:lineRule="auto"/>
        <w:ind w:left="503" w:right="1736" w:firstLine="8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（一）本合同总价为：￥</w:t>
      </w:r>
      <w:r>
        <w:rPr>
          <w:rFonts w:hint="eastAsia" w:asciiTheme="majorEastAsia" w:hAnsiTheme="majorEastAsia" w:eastAsiaTheme="majorEastAsia" w:cstheme="majorEastAsia"/>
          <w:spacing w:val="-96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20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spacing w:val="-108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元（大写：</w:t>
      </w: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pacing w:val="-108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5"/>
          <w:sz w:val="24"/>
          <w:szCs w:val="24"/>
          <w:highlight w:val="none"/>
          <w:lang w:eastAsia="zh-CN"/>
        </w:rPr>
        <w:t>元人民币）。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  <w:t xml:space="preserve"> </w:t>
      </w:r>
    </w:p>
    <w:p>
      <w:pPr>
        <w:pStyle w:val="2"/>
        <w:spacing w:before="175" w:line="360" w:lineRule="auto"/>
        <w:ind w:left="503" w:right="1736" w:firstLine="8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pacing w:val="-3"/>
          <w:sz w:val="24"/>
          <w:szCs w:val="24"/>
          <w:highlight w:val="none"/>
        </w:rPr>
        <w:t>分项价格：</w:t>
      </w:r>
    </w:p>
    <w:tbl>
      <w:tblPr>
        <w:tblStyle w:val="10"/>
        <w:tblW w:w="8174" w:type="dxa"/>
        <w:tblInd w:w="31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9"/>
        <w:gridCol w:w="1752"/>
        <w:gridCol w:w="1403"/>
        <w:gridCol w:w="1513"/>
        <w:gridCol w:w="250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999" w:type="dxa"/>
          </w:tcPr>
          <w:p>
            <w:pPr>
              <w:pStyle w:val="9"/>
              <w:spacing w:before="67" w:line="360" w:lineRule="auto"/>
              <w:ind w:left="265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5"/>
                <w:highlight w:val="none"/>
              </w:rPr>
              <w:t>序号</w:t>
            </w:r>
          </w:p>
        </w:tc>
        <w:tc>
          <w:tcPr>
            <w:tcW w:w="1752" w:type="dxa"/>
          </w:tcPr>
          <w:p>
            <w:pPr>
              <w:pStyle w:val="9"/>
              <w:spacing w:before="68" w:line="360" w:lineRule="auto"/>
              <w:ind w:left="585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7"/>
                <w:highlight w:val="none"/>
              </w:rPr>
              <w:t>名称</w:t>
            </w:r>
          </w:p>
        </w:tc>
        <w:tc>
          <w:tcPr>
            <w:tcW w:w="1403" w:type="dxa"/>
          </w:tcPr>
          <w:p>
            <w:pPr>
              <w:pStyle w:val="9"/>
              <w:spacing w:before="68" w:line="360" w:lineRule="auto"/>
              <w:ind w:left="468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6"/>
                <w:highlight w:val="none"/>
              </w:rPr>
              <w:t>数量</w:t>
            </w:r>
          </w:p>
        </w:tc>
        <w:tc>
          <w:tcPr>
            <w:tcW w:w="1513" w:type="dxa"/>
          </w:tcPr>
          <w:p>
            <w:pPr>
              <w:pStyle w:val="9"/>
              <w:spacing w:before="68" w:line="360" w:lineRule="auto"/>
              <w:ind w:left="525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6"/>
                <w:highlight w:val="none"/>
              </w:rPr>
              <w:t>单价</w:t>
            </w:r>
          </w:p>
        </w:tc>
        <w:tc>
          <w:tcPr>
            <w:tcW w:w="2507" w:type="dxa"/>
          </w:tcPr>
          <w:p>
            <w:pPr>
              <w:pStyle w:val="9"/>
              <w:spacing w:before="68" w:line="360" w:lineRule="auto"/>
              <w:ind w:left="1025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highlight w:val="none"/>
              </w:rPr>
              <w:t>总价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999" w:type="dxa"/>
          </w:tcPr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752" w:type="dxa"/>
          </w:tcPr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403" w:type="dxa"/>
          </w:tcPr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2507" w:type="dxa"/>
          </w:tcPr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999" w:type="dxa"/>
          </w:tcPr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752" w:type="dxa"/>
          </w:tcPr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403" w:type="dxa"/>
          </w:tcPr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2507" w:type="dxa"/>
          </w:tcPr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999" w:type="dxa"/>
          </w:tcPr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752" w:type="dxa"/>
          </w:tcPr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403" w:type="dxa"/>
          </w:tcPr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2507" w:type="dxa"/>
          </w:tcPr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999" w:type="dxa"/>
          </w:tcPr>
          <w:p>
            <w:pPr>
              <w:pStyle w:val="9"/>
              <w:spacing w:before="242" w:line="360" w:lineRule="auto"/>
              <w:ind w:left="433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position w:val="1"/>
                <w:highlight w:val="none"/>
              </w:rPr>
              <w:t>...</w:t>
            </w:r>
          </w:p>
        </w:tc>
        <w:tc>
          <w:tcPr>
            <w:tcW w:w="1752" w:type="dxa"/>
          </w:tcPr>
          <w:p>
            <w:pPr>
              <w:pStyle w:val="9"/>
              <w:spacing w:before="242" w:line="360" w:lineRule="auto"/>
              <w:ind w:left="807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position w:val="1"/>
                <w:highlight w:val="none"/>
              </w:rPr>
              <w:t>...</w:t>
            </w:r>
          </w:p>
        </w:tc>
        <w:tc>
          <w:tcPr>
            <w:tcW w:w="1403" w:type="dxa"/>
          </w:tcPr>
          <w:p>
            <w:pPr>
              <w:pStyle w:val="9"/>
              <w:spacing w:before="242" w:line="360" w:lineRule="auto"/>
              <w:ind w:left="634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position w:val="1"/>
                <w:highlight w:val="none"/>
              </w:rPr>
              <w:t>...</w:t>
            </w:r>
          </w:p>
        </w:tc>
        <w:tc>
          <w:tcPr>
            <w:tcW w:w="1513" w:type="dxa"/>
          </w:tcPr>
          <w:p>
            <w:pPr>
              <w:pStyle w:val="9"/>
              <w:spacing w:before="242" w:line="360" w:lineRule="auto"/>
              <w:ind w:left="690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position w:val="1"/>
                <w:highlight w:val="none"/>
              </w:rPr>
              <w:t>...</w:t>
            </w:r>
          </w:p>
        </w:tc>
        <w:tc>
          <w:tcPr>
            <w:tcW w:w="2507" w:type="dxa"/>
          </w:tcPr>
          <w:p>
            <w:pPr>
              <w:pStyle w:val="9"/>
              <w:spacing w:before="242" w:line="360" w:lineRule="auto"/>
              <w:ind w:left="1186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position w:val="1"/>
                <w:highlight w:val="none"/>
              </w:rPr>
              <w:t>...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2751" w:type="dxa"/>
            <w:gridSpan w:val="2"/>
          </w:tcPr>
          <w:p>
            <w:pPr>
              <w:pStyle w:val="9"/>
              <w:spacing w:before="66" w:line="360" w:lineRule="auto"/>
              <w:ind w:left="1243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6"/>
                <w:highlight w:val="none"/>
              </w:rPr>
              <w:t>合计</w:t>
            </w:r>
          </w:p>
        </w:tc>
        <w:tc>
          <w:tcPr>
            <w:tcW w:w="5423" w:type="dxa"/>
            <w:gridSpan w:val="3"/>
          </w:tcPr>
          <w:p>
            <w:pPr>
              <w:pStyle w:val="9"/>
              <w:spacing w:before="66" w:line="360" w:lineRule="auto"/>
              <w:ind w:left="316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5"/>
                <w:highlight w:val="none"/>
              </w:rPr>
              <w:t>大写：</w:t>
            </w:r>
          </w:p>
        </w:tc>
      </w:tr>
    </w:tbl>
    <w:p>
      <w:pPr>
        <w:spacing w:line="360" w:lineRule="auto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</w:pPr>
    </w:p>
    <w:p>
      <w:pPr>
        <w:pStyle w:val="2"/>
        <w:spacing w:before="79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（二）合同价格形式：</w:t>
      </w:r>
      <w:r>
        <w:rPr>
          <w:rFonts w:hint="eastAsia" w:asciiTheme="majorEastAsia" w:hAnsiTheme="majorEastAsia" w:eastAsiaTheme="majorEastAsia" w:cstheme="majorEastAsia"/>
          <w:spacing w:val="45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u w:val="single"/>
          <w:lang w:eastAsia="zh-CN"/>
        </w:rPr>
        <w:t>固定总价合同。</w:t>
      </w:r>
    </w:p>
    <w:p>
      <w:pPr>
        <w:pStyle w:val="2"/>
        <w:spacing w:before="157" w:line="360" w:lineRule="auto"/>
        <w:ind w:left="518" w:right="4936" w:hanging="6"/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（三）付款方式和发票开具</w:t>
      </w:r>
    </w:p>
    <w:p>
      <w:pPr>
        <w:pStyle w:val="2"/>
        <w:spacing w:before="157" w:line="360" w:lineRule="auto"/>
        <w:ind w:left="518" w:right="4936" w:hanging="6"/>
        <w:rPr>
          <w:rFonts w:hint="eastAsia" w:asciiTheme="majorEastAsia" w:hAnsiTheme="majorEastAsia" w:eastAsiaTheme="majorEastAsia" w:cstheme="majorEastAsia"/>
          <w:spacing w:val="3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1.付款方式</w:t>
      </w:r>
      <w:r>
        <w:rPr>
          <w:rFonts w:hint="eastAsia" w:asciiTheme="majorEastAsia" w:hAnsiTheme="majorEastAsia" w:eastAsiaTheme="majorEastAsia" w:cstheme="majorEastAsia"/>
          <w:spacing w:val="3"/>
          <w:sz w:val="24"/>
          <w:szCs w:val="24"/>
          <w:highlight w:val="none"/>
          <w:lang w:eastAsia="zh-CN"/>
        </w:rPr>
        <w:t>：</w:t>
      </w:r>
    </w:p>
    <w:p>
      <w:pPr>
        <w:pStyle w:val="3"/>
        <w:spacing w:line="360" w:lineRule="auto"/>
        <w:ind w:firstLine="232"/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付款条件说明：项目验收合格后，达到付款条件起 30日内，支付合同总金额的 100.00%。</w:t>
      </w:r>
    </w:p>
    <w:p>
      <w:pPr>
        <w:pStyle w:val="2"/>
        <w:spacing w:before="157" w:line="360" w:lineRule="auto"/>
        <w:ind w:left="503" w:right="4256" w:hanging="4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2.结算方式：银行转账</w:t>
      </w:r>
    </w:p>
    <w:p>
      <w:pPr>
        <w:pStyle w:val="2"/>
        <w:spacing w:before="156" w:line="360" w:lineRule="auto"/>
        <w:ind w:left="505"/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3.付款前，乙方开具符合甲方要求的合规发票。</w:t>
      </w:r>
    </w:p>
    <w:p>
      <w:pPr>
        <w:pStyle w:val="2"/>
        <w:spacing w:before="155" w:line="360" w:lineRule="auto"/>
        <w:ind w:left="501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3"/>
          <w:sz w:val="24"/>
          <w:szCs w:val="24"/>
          <w:highlight w:val="none"/>
          <w:lang w:eastAsia="zh-CN"/>
        </w:rPr>
        <w:t>三、双方的权利和义务</w:t>
      </w:r>
    </w:p>
    <w:p>
      <w:pPr>
        <w:pStyle w:val="2"/>
        <w:spacing w:before="154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（一）甲方的权利与义务</w:t>
      </w:r>
    </w:p>
    <w:p>
      <w:pPr>
        <w:pStyle w:val="2"/>
        <w:spacing w:before="157" w:line="360" w:lineRule="auto"/>
        <w:ind w:left="23" w:firstLine="508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甲方在收到货物通知后，应按竞争性谈判文件的需求进行核实，如发现不符</w:t>
      </w:r>
      <w:r>
        <w:rPr>
          <w:rFonts w:hint="eastAsia" w:asciiTheme="majorEastAsia" w:hAnsiTheme="majorEastAsia" w:eastAsiaTheme="majorEastAsia" w:cstheme="majorEastAsia"/>
          <w:spacing w:val="-5"/>
          <w:sz w:val="24"/>
          <w:szCs w:val="24"/>
          <w:highlight w:val="none"/>
          <w:lang w:eastAsia="zh-CN"/>
        </w:rPr>
        <w:t>合合同规定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  <w:t xml:space="preserve"> 或短缺，及时提出，甲方在收到货后，组织人员按</w:t>
      </w: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提供的技术参数指标进行验收。</w:t>
      </w:r>
    </w:p>
    <w:p>
      <w:pPr>
        <w:pStyle w:val="2"/>
        <w:spacing w:before="36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（二）乙方的权利与义务</w:t>
      </w:r>
    </w:p>
    <w:p>
      <w:pPr>
        <w:pStyle w:val="2"/>
        <w:spacing w:before="157" w:line="360" w:lineRule="auto"/>
        <w:ind w:left="503" w:right="2816" w:firstLine="14"/>
        <w:rPr>
          <w:rFonts w:hint="eastAsia" w:asciiTheme="majorEastAsia" w:hAnsiTheme="majorEastAsia" w:eastAsiaTheme="majorEastAsia" w:cstheme="majorEastAsia"/>
          <w:spacing w:val="4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3"/>
          <w:sz w:val="24"/>
          <w:szCs w:val="24"/>
          <w:highlight w:val="none"/>
          <w:lang w:eastAsia="zh-CN"/>
        </w:rPr>
        <w:t>1.乙方负责产品安装与调试在合同约定的时间完工。</w:t>
      </w:r>
      <w:r>
        <w:rPr>
          <w:rFonts w:hint="eastAsia" w:asciiTheme="majorEastAsia" w:hAnsiTheme="majorEastAsia" w:eastAsiaTheme="majorEastAsia" w:cstheme="majorEastAsia"/>
          <w:spacing w:val="4"/>
          <w:sz w:val="24"/>
          <w:szCs w:val="24"/>
          <w:highlight w:val="none"/>
          <w:lang w:eastAsia="zh-CN"/>
        </w:rPr>
        <w:t xml:space="preserve"> </w:t>
      </w:r>
    </w:p>
    <w:p>
      <w:pPr>
        <w:pStyle w:val="2"/>
        <w:spacing w:before="157" w:line="360" w:lineRule="auto"/>
        <w:ind w:left="503" w:right="2816" w:firstLine="14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2.乙方所提供的产品必须是采购需求产品。</w:t>
      </w:r>
    </w:p>
    <w:p>
      <w:pPr>
        <w:pStyle w:val="2"/>
        <w:spacing w:before="35" w:line="360" w:lineRule="auto"/>
        <w:ind w:left="523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5"/>
          <w:sz w:val="24"/>
          <w:szCs w:val="24"/>
          <w:highlight w:val="none"/>
          <w:lang w:eastAsia="zh-CN"/>
        </w:rPr>
        <w:t>四、交货地点及交货期：</w:t>
      </w:r>
    </w:p>
    <w:p>
      <w:pPr>
        <w:pStyle w:val="2"/>
        <w:spacing w:before="158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（一）项目实施地点：延安大学指定地点。</w:t>
      </w:r>
    </w:p>
    <w:p>
      <w:pPr>
        <w:pStyle w:val="2"/>
        <w:spacing w:before="152" w:line="360" w:lineRule="auto"/>
        <w:ind w:left="512"/>
        <w:rPr>
          <w:rFonts w:hint="eastAsia" w:eastAsiaTheme="majorEastAsia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（二）交货期：自合同签订之日起120日。</w:t>
      </w:r>
    </w:p>
    <w:p>
      <w:pPr>
        <w:pStyle w:val="2"/>
        <w:spacing w:before="156" w:line="360" w:lineRule="auto"/>
        <w:ind w:left="504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5"/>
          <w:sz w:val="24"/>
          <w:szCs w:val="24"/>
          <w:highlight w:val="none"/>
          <w:lang w:eastAsia="zh-CN"/>
        </w:rPr>
        <w:t>五、包装及运输</w:t>
      </w:r>
    </w:p>
    <w:p>
      <w:pPr>
        <w:pStyle w:val="2"/>
        <w:spacing w:before="158" w:line="360" w:lineRule="auto"/>
        <w:ind w:left="21" w:firstLine="491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（一）乙方负责所有货物的包装及运输。确保货物安全、完整到达使用地点，包</w:t>
      </w:r>
      <w:r>
        <w:rPr>
          <w:rFonts w:hint="eastAsia" w:asciiTheme="majorEastAsia" w:hAnsiTheme="majorEastAsia" w:eastAsiaTheme="majorEastAsia" w:cstheme="majorEastAsia"/>
          <w:spacing w:val="-3"/>
          <w:sz w:val="24"/>
          <w:szCs w:val="24"/>
          <w:highlight w:val="none"/>
          <w:lang w:eastAsia="zh-CN"/>
        </w:rPr>
        <w:t>装及运杂费用包含在总价内，包括货物从供货地点到使用地点的运输费、保险</w:t>
      </w: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费、搬</w:t>
      </w:r>
      <w:r>
        <w:rPr>
          <w:rFonts w:hint="eastAsia" w:asciiTheme="majorEastAsia" w:hAnsiTheme="majorEastAsia" w:eastAsiaTheme="majorEastAsia" w:cstheme="majorEastAsia"/>
          <w:spacing w:val="-3"/>
          <w:sz w:val="24"/>
          <w:szCs w:val="24"/>
          <w:highlight w:val="none"/>
          <w:lang w:eastAsia="zh-CN"/>
        </w:rPr>
        <w:t>运费等。</w:t>
      </w:r>
    </w:p>
    <w:p>
      <w:pPr>
        <w:pStyle w:val="2"/>
        <w:spacing w:before="155" w:line="360" w:lineRule="auto"/>
        <w:ind w:left="21" w:firstLine="491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（二）所有货物在运输、搬运、安装的过程中，造成甲方损失的，由乙方为甲方</w:t>
      </w:r>
      <w:r>
        <w:rPr>
          <w:rFonts w:hint="eastAsia" w:asciiTheme="majorEastAsia" w:hAnsiTheme="majorEastAsia" w:eastAsiaTheme="majorEastAsia" w:cstheme="majorEastAsia"/>
          <w:spacing w:val="14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修复或更新，并承担因此给甲方造成的全部损失。</w:t>
      </w:r>
    </w:p>
    <w:p>
      <w:pPr>
        <w:pStyle w:val="2"/>
        <w:spacing w:before="154" w:line="360" w:lineRule="auto"/>
        <w:ind w:left="50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4"/>
          <w:sz w:val="24"/>
          <w:szCs w:val="24"/>
          <w:highlight w:val="none"/>
          <w:lang w:eastAsia="zh-CN"/>
        </w:rPr>
        <w:t>六、安装要求</w:t>
      </w:r>
    </w:p>
    <w:p>
      <w:pPr>
        <w:pStyle w:val="2"/>
        <w:spacing w:before="156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（一）由乙方负责派技术人员到现场进行安装、调试至验收合格。</w:t>
      </w:r>
    </w:p>
    <w:p>
      <w:pPr>
        <w:pStyle w:val="2"/>
        <w:spacing w:before="155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（二）乙方应在合同规定的安装调试期内完成该项工作。</w:t>
      </w:r>
    </w:p>
    <w:p>
      <w:pPr>
        <w:pStyle w:val="2"/>
        <w:spacing w:before="154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（三）安装和调试期间所发生的费用均由乙方负责。</w:t>
      </w:r>
    </w:p>
    <w:p>
      <w:pPr>
        <w:pStyle w:val="2"/>
        <w:spacing w:before="157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（四）安装和调试期间若发生安全问题均由乙方负责。</w:t>
      </w:r>
    </w:p>
    <w:p>
      <w:pPr>
        <w:pStyle w:val="2"/>
        <w:spacing w:before="78" w:line="360" w:lineRule="auto"/>
        <w:ind w:left="500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4"/>
          <w:sz w:val="24"/>
          <w:szCs w:val="24"/>
          <w:highlight w:val="none"/>
          <w:lang w:eastAsia="zh-CN"/>
        </w:rPr>
        <w:t>七、质量保证</w:t>
      </w:r>
    </w:p>
    <w:p>
      <w:pPr>
        <w:pStyle w:val="2"/>
        <w:spacing w:before="153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（一）乙方选用的产品保证符合国家相关标准，满足竞争性谈判文件要求。</w:t>
      </w:r>
    </w:p>
    <w:p>
      <w:pPr>
        <w:pStyle w:val="2"/>
        <w:spacing w:before="153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（二）产品符合国家有关规范要求，确保整个产品达到最佳运行状态。</w:t>
      </w:r>
    </w:p>
    <w:p>
      <w:pPr>
        <w:pStyle w:val="2"/>
        <w:spacing w:before="156" w:line="360" w:lineRule="auto"/>
        <w:ind w:left="62" w:firstLine="450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（三）乙方提供货物必须是原品牌制造厂生产的最新产品，生产日期距离交货之</w:t>
      </w:r>
      <w:r>
        <w:rPr>
          <w:rFonts w:hint="eastAsia" w:asciiTheme="majorEastAsia" w:hAnsiTheme="majorEastAsia" w:eastAsiaTheme="majorEastAsia" w:cstheme="majorEastAsia"/>
          <w:spacing w:val="-13"/>
          <w:sz w:val="24"/>
          <w:szCs w:val="24"/>
          <w:highlight w:val="none"/>
          <w:lang w:eastAsia="zh-CN"/>
        </w:rPr>
        <w:t>日不超过</w:t>
      </w:r>
      <w:r>
        <w:rPr>
          <w:rFonts w:hint="eastAsia" w:asciiTheme="majorEastAsia" w:hAnsiTheme="majorEastAsia" w:eastAsiaTheme="majorEastAsia" w:cstheme="majorEastAsia"/>
          <w:spacing w:val="-31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13"/>
          <w:sz w:val="24"/>
          <w:szCs w:val="24"/>
          <w:highlight w:val="none"/>
          <w:lang w:eastAsia="zh-CN"/>
        </w:rPr>
        <w:t>1</w:t>
      </w:r>
      <w:r>
        <w:rPr>
          <w:rFonts w:hint="eastAsia" w:asciiTheme="majorEastAsia" w:hAnsiTheme="majorEastAsia" w:eastAsiaTheme="majorEastAsia" w:cstheme="majorEastAsia"/>
          <w:spacing w:val="-50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13"/>
          <w:sz w:val="24"/>
          <w:szCs w:val="24"/>
          <w:highlight w:val="none"/>
          <w:lang w:eastAsia="zh-CN"/>
        </w:rPr>
        <w:t>年。</w:t>
      </w:r>
    </w:p>
    <w:p>
      <w:pPr>
        <w:pStyle w:val="2"/>
        <w:spacing w:before="155" w:line="360" w:lineRule="auto"/>
        <w:ind w:left="504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4"/>
          <w:sz w:val="24"/>
          <w:szCs w:val="24"/>
          <w:highlight w:val="none"/>
          <w:lang w:eastAsia="zh-CN"/>
        </w:rPr>
        <w:t>八、技术支持</w:t>
      </w:r>
    </w:p>
    <w:p>
      <w:pPr>
        <w:pStyle w:val="2"/>
        <w:spacing w:before="155" w:line="360" w:lineRule="auto"/>
        <w:ind w:left="50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提供全年</w:t>
      </w: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spacing w:val="-92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小时的技术咨询服务。</w:t>
      </w:r>
    </w:p>
    <w:p>
      <w:pPr>
        <w:pStyle w:val="2"/>
        <w:spacing w:before="156" w:line="360" w:lineRule="auto"/>
        <w:ind w:left="506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5"/>
          <w:sz w:val="24"/>
          <w:szCs w:val="24"/>
          <w:highlight w:val="none"/>
          <w:lang w:eastAsia="zh-CN"/>
        </w:rPr>
        <w:t>九、技术培训</w:t>
      </w:r>
    </w:p>
    <w:p>
      <w:pPr>
        <w:pStyle w:val="2"/>
        <w:spacing w:before="153" w:line="360" w:lineRule="auto"/>
        <w:ind w:left="22" w:firstLine="490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（一）应包括设备(产品)使用操作、保养、维修等培训内容。乙方需为甲方免费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  <w:t>培训相关技术人员，培训服务以受培训人员</w:t>
      </w: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熟练掌握相应技能为原则。</w:t>
      </w:r>
    </w:p>
    <w:p>
      <w:pPr>
        <w:pStyle w:val="2"/>
        <w:spacing w:before="153" w:line="360" w:lineRule="auto"/>
        <w:ind w:left="26" w:firstLine="485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（二）乙方应当提供甲方相关主管人员的培训，应使其可以完成对整体系统的正</w:t>
      </w: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常运行的宏观管理。此项培训必须包括原厂商相关项目的标准培训。</w:t>
      </w:r>
    </w:p>
    <w:p>
      <w:pPr>
        <w:pStyle w:val="2"/>
        <w:spacing w:before="157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（三）培训内容应当包括设备(产品)使用及维修各个方面的培训。</w:t>
      </w:r>
    </w:p>
    <w:p>
      <w:pPr>
        <w:pStyle w:val="2"/>
        <w:spacing w:before="154" w:line="360" w:lineRule="auto"/>
        <w:ind w:left="50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4"/>
          <w:sz w:val="24"/>
          <w:szCs w:val="24"/>
          <w:highlight w:val="none"/>
          <w:lang w:eastAsia="zh-CN"/>
        </w:rPr>
        <w:t>十、技术资料要求</w:t>
      </w:r>
    </w:p>
    <w:p>
      <w:pPr>
        <w:pStyle w:val="2"/>
        <w:spacing w:before="154" w:line="360" w:lineRule="auto"/>
        <w:ind w:left="524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乙方应向甲方提供全套中文技术资料一套，其费用包括在合同价</w:t>
      </w: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格中：</w:t>
      </w:r>
    </w:p>
    <w:p>
      <w:pPr>
        <w:pStyle w:val="2"/>
        <w:spacing w:before="158" w:line="360" w:lineRule="auto"/>
        <w:ind w:left="41" w:firstLine="470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（一）完整的设备(产品)操作使用手册和维护、修理技术文件，图纸、保修卡等</w:t>
      </w:r>
      <w:r>
        <w:rPr>
          <w:rFonts w:hint="eastAsia" w:asciiTheme="majorEastAsia" w:hAnsiTheme="majorEastAsia" w:eastAsiaTheme="majorEastAsia" w:cstheme="majorEastAsia"/>
          <w:spacing w:val="18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  <w:t>;</w:t>
      </w:r>
    </w:p>
    <w:p>
      <w:pPr>
        <w:pStyle w:val="2"/>
        <w:spacing w:before="151" w:line="360" w:lineRule="auto"/>
        <w:ind w:left="37" w:firstLine="474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（二）制造厂的检验、测试报告、设备(产品)检验合格证书、计量合格等级证书</w:t>
      </w:r>
      <w:r>
        <w:rPr>
          <w:rFonts w:hint="eastAsia" w:asciiTheme="majorEastAsia" w:hAnsiTheme="majorEastAsia" w:eastAsiaTheme="majorEastAsia" w:cstheme="majorEastAsia"/>
          <w:spacing w:val="18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、质量保证书等文件验收时须一并提供；</w:t>
      </w:r>
    </w:p>
    <w:p>
      <w:pPr>
        <w:pStyle w:val="2"/>
        <w:spacing w:before="155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（三）技术说明书或者使用说明书；</w:t>
      </w:r>
    </w:p>
    <w:p>
      <w:pPr>
        <w:pStyle w:val="2"/>
        <w:spacing w:before="155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（四）备品备件、易损件清单；</w:t>
      </w:r>
    </w:p>
    <w:p>
      <w:pPr>
        <w:pStyle w:val="2"/>
        <w:spacing w:before="156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3"/>
          <w:sz w:val="24"/>
          <w:szCs w:val="24"/>
          <w:highlight w:val="none"/>
          <w:lang w:eastAsia="zh-CN"/>
        </w:rPr>
        <w:t>（五）验收报告；</w:t>
      </w:r>
    </w:p>
    <w:p>
      <w:pPr>
        <w:pStyle w:val="2"/>
        <w:spacing w:before="157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3"/>
          <w:sz w:val="24"/>
          <w:szCs w:val="24"/>
          <w:highlight w:val="none"/>
          <w:lang w:eastAsia="zh-CN"/>
        </w:rPr>
        <w:t>（六）其他文件资料。</w:t>
      </w:r>
    </w:p>
    <w:p>
      <w:pPr>
        <w:pStyle w:val="2"/>
        <w:spacing w:before="154" w:line="360" w:lineRule="auto"/>
        <w:ind w:left="50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4"/>
          <w:sz w:val="24"/>
          <w:szCs w:val="24"/>
          <w:highlight w:val="none"/>
          <w:lang w:eastAsia="zh-CN"/>
        </w:rPr>
        <w:t>十一、售后服务</w:t>
      </w:r>
    </w:p>
    <w:p>
      <w:pPr>
        <w:pStyle w:val="2"/>
        <w:spacing w:before="156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（一）乙方应设有可承担维修职能售后服务机构。</w:t>
      </w:r>
    </w:p>
    <w:p>
      <w:pPr>
        <w:pStyle w:val="2"/>
        <w:spacing w:before="155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（二）乙方应提供派驻的维护技术人员及能力等说明。</w:t>
      </w:r>
    </w:p>
    <w:p>
      <w:pPr>
        <w:pStyle w:val="2"/>
        <w:spacing w:before="155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3"/>
          <w:sz w:val="24"/>
          <w:szCs w:val="24"/>
          <w:highlight w:val="none"/>
          <w:lang w:eastAsia="zh-CN"/>
        </w:rPr>
        <w:t>（三）服务方式：</w:t>
      </w:r>
    </w:p>
    <w:p>
      <w:pPr>
        <w:pStyle w:val="2"/>
        <w:spacing w:before="156" w:line="360" w:lineRule="auto"/>
        <w:ind w:left="21" w:firstLine="497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1.现场服务，整体验收合格后质量保证期为</w:t>
      </w: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pacing w:val="-100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年，终身维护保养，保修期外维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  <w:t>修只收取配件费，并提供常用配件、耗材清单及价</w:t>
      </w: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格。负责终身软件升级。</w:t>
      </w:r>
    </w:p>
    <w:p>
      <w:pPr>
        <w:pStyle w:val="2"/>
        <w:spacing w:before="78" w:line="360" w:lineRule="auto"/>
        <w:ind w:left="39" w:firstLine="464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  <w:t>2.在质量保证期内发生故障，维修响应时间≤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u w:val="single"/>
          <w:lang w:eastAsia="zh-CN"/>
        </w:rPr>
        <w:t xml:space="preserve"> 2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  <w:t>小时，维修工程师抵达现场时</w:t>
      </w:r>
      <w:r>
        <w:rPr>
          <w:rFonts w:hint="eastAsia" w:asciiTheme="majorEastAsia" w:hAnsiTheme="majorEastAsia" w:eastAsiaTheme="majorEastAsia" w:cstheme="majorEastAsia"/>
          <w:spacing w:val="3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  <w:t>间≤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u w:val="single"/>
          <w:lang w:eastAsia="zh-CN"/>
        </w:rPr>
        <w:t xml:space="preserve"> 12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  <w:t>小时。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highlight w:val="none"/>
          <w:lang w:eastAsia="zh-CN"/>
        </w:rPr>
        <w:t>48</w:t>
      </w:r>
      <w:r>
        <w:rPr>
          <w:rFonts w:hint="eastAsia" w:asciiTheme="majorEastAsia" w:hAnsiTheme="majorEastAsia" w:eastAsiaTheme="majorEastAsia" w:cstheme="majorEastAsia"/>
          <w:spacing w:val="-42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highlight w:val="none"/>
          <w:lang w:eastAsia="zh-CN"/>
        </w:rPr>
        <w:t>小时内无法完成维修时须提</w:t>
      </w:r>
      <w:r>
        <w:rPr>
          <w:rFonts w:hint="eastAsia" w:asciiTheme="majorEastAsia" w:hAnsiTheme="majorEastAsia" w:eastAsiaTheme="majorEastAsia" w:cstheme="majorEastAsia"/>
          <w:b/>
          <w:bCs/>
          <w:spacing w:val="-1"/>
          <w:sz w:val="24"/>
          <w:szCs w:val="24"/>
          <w:highlight w:val="none"/>
          <w:lang w:eastAsia="zh-CN"/>
        </w:rPr>
        <w:t>供备用机</w:t>
      </w: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。若需要将产品返厂维修，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乙方须承担维修产品所需的往返费用。</w:t>
      </w:r>
    </w:p>
    <w:p>
      <w:pPr>
        <w:pStyle w:val="2"/>
        <w:spacing w:before="36" w:line="360" w:lineRule="auto"/>
        <w:ind w:left="22" w:firstLine="483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3"/>
          <w:sz w:val="24"/>
          <w:szCs w:val="24"/>
          <w:highlight w:val="none"/>
          <w:lang w:eastAsia="zh-CN"/>
        </w:rPr>
        <w:t>3.如果乙方在收到通知后两天内没有弥补缺陷，甲方可</w:t>
      </w: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采取必要的补救措施，但</w:t>
      </w:r>
      <w:r>
        <w:rPr>
          <w:rFonts w:hint="eastAsia" w:asciiTheme="majorEastAsia" w:hAnsiTheme="majorEastAsia" w:eastAsiaTheme="majorEastAsia" w:cstheme="majorEastAsia"/>
          <w:spacing w:val="-3"/>
          <w:sz w:val="24"/>
          <w:szCs w:val="24"/>
          <w:highlight w:val="none"/>
          <w:lang w:eastAsia="zh-CN"/>
        </w:rPr>
        <w:t>其风险和费用将由乙方承担，甲方根据合同规定对乙方行使的其它权力不受</w:t>
      </w: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影响。甲</w:t>
      </w: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方亦可从合同尾款中扣回索赔金额。</w:t>
      </w:r>
    </w:p>
    <w:p>
      <w:pPr>
        <w:pStyle w:val="2"/>
        <w:spacing w:before="35" w:line="360" w:lineRule="auto"/>
        <w:ind w:left="23" w:firstLine="488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（四）所提供的服务内容应严格按国家最新发布的规范标准执行，符合甲方宣传</w:t>
      </w: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理念及要求，如发生质量问题由乙方承担全部责任。</w:t>
      </w:r>
    </w:p>
    <w:p>
      <w:pPr>
        <w:pStyle w:val="2"/>
        <w:spacing w:before="155" w:line="360" w:lineRule="auto"/>
        <w:ind w:left="22" w:firstLine="489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（五）乙方应承诺的质保期、维保期的售后服务条款，乙方可视自身能力在响应</w:t>
      </w: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文件中提供更优、更合理的售后服务承诺。</w:t>
      </w:r>
    </w:p>
    <w:p>
      <w:pPr>
        <w:pStyle w:val="2"/>
        <w:spacing w:before="155" w:line="360" w:lineRule="auto"/>
        <w:ind w:left="50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4"/>
          <w:sz w:val="24"/>
          <w:szCs w:val="24"/>
          <w:highlight w:val="none"/>
          <w:lang w:eastAsia="zh-CN"/>
        </w:rPr>
        <w:t>十二、知识产权</w:t>
      </w:r>
    </w:p>
    <w:p>
      <w:pPr>
        <w:pStyle w:val="2"/>
        <w:spacing w:before="157" w:line="360" w:lineRule="auto"/>
        <w:ind w:left="25" w:firstLine="498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乙方应对所供产品具有或已取得合法知识产权，乙方应保证所供产品及服务不会</w:t>
      </w:r>
      <w:r>
        <w:rPr>
          <w:rFonts w:hint="eastAsia" w:asciiTheme="majorEastAsia" w:hAnsiTheme="majorEastAsia" w:eastAsiaTheme="majorEastAsia" w:cstheme="majorEastAsia"/>
          <w:spacing w:val="2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3"/>
          <w:sz w:val="24"/>
          <w:szCs w:val="24"/>
          <w:highlight w:val="none"/>
          <w:lang w:eastAsia="zh-CN"/>
        </w:rPr>
        <w:t>出现因第三方提出侵犯其专利权、商标权或其它知识产权而引发法</w:t>
      </w: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律或经济纠纷，否</w:t>
      </w:r>
      <w:r>
        <w:rPr>
          <w:rFonts w:hint="eastAsia" w:asciiTheme="majorEastAsia" w:hAnsiTheme="majorEastAsia" w:eastAsiaTheme="majorEastAsia" w:cstheme="majorEastAsia"/>
          <w:spacing w:val="-3"/>
          <w:sz w:val="24"/>
          <w:szCs w:val="24"/>
          <w:highlight w:val="none"/>
          <w:lang w:eastAsia="zh-CN"/>
        </w:rPr>
        <w:t>则由乙方负责解决并承担全部责任；如因此影响到甲方的正常使用</w:t>
      </w: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，甲方有权单方解</w:t>
      </w: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除本合同，乙方应无条件向甲方退回已收取的全部合同价款。</w:t>
      </w:r>
    </w:p>
    <w:p>
      <w:pPr>
        <w:pStyle w:val="2"/>
        <w:spacing w:before="38" w:line="360" w:lineRule="auto"/>
        <w:ind w:left="50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4"/>
          <w:sz w:val="24"/>
          <w:szCs w:val="24"/>
          <w:highlight w:val="none"/>
          <w:lang w:eastAsia="zh-CN"/>
        </w:rPr>
        <w:t>十三、违约责任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（一）按《中华人民共和国民法典》中的相关条款执行。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（二）未按合同要求的提供产品或设备质量不能满足技术要求，采购人有权终止合同，甚至对供方违约行为进行追究。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（三）如有纠纷，双方友好协商解决，协商不成时可诉讼到甲方所在地人民法院解决。</w:t>
      </w:r>
    </w:p>
    <w:p>
      <w:pPr>
        <w:pStyle w:val="2"/>
        <w:spacing w:before="155" w:line="360" w:lineRule="auto"/>
        <w:ind w:left="50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5"/>
          <w:sz w:val="24"/>
          <w:szCs w:val="24"/>
          <w:highlight w:val="none"/>
          <w:lang w:eastAsia="zh-CN"/>
        </w:rPr>
        <w:t>十四、验收</w:t>
      </w:r>
    </w:p>
    <w:p>
      <w:pPr>
        <w:pStyle w:val="2"/>
        <w:spacing w:before="153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（一）本项目验收费用，由乙方承担。</w:t>
      </w:r>
    </w:p>
    <w:p>
      <w:pPr>
        <w:pStyle w:val="2"/>
        <w:spacing w:before="78" w:line="360" w:lineRule="auto"/>
        <w:ind w:left="40" w:right="63" w:firstLine="471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（二）到货验收：货物到货后，由甲方与乙方共同进行外观验收，验收内容包括，</w:t>
      </w:r>
      <w:r>
        <w:rPr>
          <w:rFonts w:hint="eastAsia" w:asciiTheme="majorEastAsia" w:hAnsiTheme="majorEastAsia" w:eastAsiaTheme="majorEastAsia" w:cstheme="majorEastAsia"/>
          <w:spacing w:val="-3"/>
          <w:sz w:val="24"/>
          <w:szCs w:val="24"/>
          <w:highlight w:val="none"/>
          <w:lang w:eastAsia="zh-CN"/>
        </w:rPr>
        <w:t>外包装的完好性，货物品牌、规格、数量及产地与合同要求的一致性等。</w:t>
      </w:r>
    </w:p>
    <w:p>
      <w:pPr>
        <w:pStyle w:val="2"/>
        <w:spacing w:before="157" w:line="360" w:lineRule="auto"/>
        <w:ind w:left="22" w:right="63" w:firstLine="490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（三）货物运行验收：乙方安装调试合格后，向甲方提出验收申请，甲方接到乙</w:t>
      </w: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方验收申请后组织验收（必要时可聘请相应专家或委托相应部门验收</w:t>
      </w:r>
      <w:r>
        <w:rPr>
          <w:rFonts w:hint="eastAsia" w:asciiTheme="majorEastAsia" w:hAnsiTheme="majorEastAsia" w:eastAsiaTheme="majorEastAsia" w:cstheme="majorEastAsia"/>
          <w:spacing w:val="-23"/>
          <w:sz w:val="24"/>
          <w:szCs w:val="24"/>
          <w:highlight w:val="none"/>
          <w:lang w:eastAsia="zh-CN"/>
        </w:rPr>
        <w:t>），</w:t>
      </w: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验收合格后</w:t>
      </w:r>
      <w:r>
        <w:rPr>
          <w:rFonts w:hint="eastAsia" w:asciiTheme="majorEastAsia" w:hAnsiTheme="majorEastAsia" w:eastAsiaTheme="majorEastAsia" w:cstheme="majorEastAsia"/>
          <w:spacing w:val="1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8"/>
          <w:sz w:val="24"/>
          <w:szCs w:val="24"/>
          <w:highlight w:val="none"/>
          <w:lang w:eastAsia="zh-CN"/>
        </w:rPr>
        <w:t>,</w:t>
      </w:r>
      <w:r>
        <w:rPr>
          <w:rFonts w:hint="eastAsia" w:asciiTheme="majorEastAsia" w:hAnsiTheme="majorEastAsia" w:eastAsiaTheme="majorEastAsia" w:cstheme="majorEastAsia"/>
          <w:spacing w:val="84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8"/>
          <w:sz w:val="24"/>
          <w:szCs w:val="24"/>
          <w:highlight w:val="none"/>
          <w:lang w:eastAsia="zh-CN"/>
        </w:rPr>
        <w:t>出具使用验收合格证明。</w:t>
      </w:r>
    </w:p>
    <w:p>
      <w:pPr>
        <w:pStyle w:val="2"/>
        <w:spacing w:before="156" w:line="360" w:lineRule="auto"/>
        <w:ind w:left="20" w:right="63" w:firstLine="49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（四）质保期满后，由乙方出具质保期运行质量报告。若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  <w:t>存在质量问题，由乙方承担相应责任及费用，甲方</w:t>
      </w: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并有权从尾款中扣除。</w:t>
      </w:r>
    </w:p>
    <w:p>
      <w:pPr>
        <w:pStyle w:val="2"/>
        <w:spacing w:before="154" w:line="360" w:lineRule="auto"/>
        <w:jc w:val="right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（五）乙方向甲方提交产品供货过程中的所有资料，以便甲方日后管理和维护。</w:t>
      </w:r>
    </w:p>
    <w:p>
      <w:pPr>
        <w:pStyle w:val="2"/>
        <w:spacing w:before="154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3"/>
          <w:sz w:val="24"/>
          <w:szCs w:val="24"/>
          <w:highlight w:val="none"/>
          <w:lang w:eastAsia="zh-CN"/>
        </w:rPr>
        <w:t>（六）验收依据：</w:t>
      </w:r>
    </w:p>
    <w:p>
      <w:pPr>
        <w:pStyle w:val="2"/>
        <w:spacing w:before="157" w:line="360" w:lineRule="auto"/>
        <w:ind w:left="518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3"/>
          <w:sz w:val="24"/>
          <w:szCs w:val="24"/>
          <w:highlight w:val="none"/>
          <w:lang w:eastAsia="zh-CN"/>
        </w:rPr>
        <w:t>1.本合同及附加文本；</w:t>
      </w:r>
    </w:p>
    <w:p>
      <w:pPr>
        <w:pStyle w:val="2"/>
        <w:spacing w:before="156" w:line="360" w:lineRule="auto"/>
        <w:ind w:left="503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2.竞争性谈判文件、响应文件及澄清函；</w:t>
      </w:r>
    </w:p>
    <w:p>
      <w:pPr>
        <w:pStyle w:val="2"/>
        <w:spacing w:before="154" w:line="360" w:lineRule="auto"/>
        <w:ind w:left="505"/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3、中国的相应标准、规范。</w:t>
      </w:r>
    </w:p>
    <w:p>
      <w:pPr>
        <w:pStyle w:val="3"/>
        <w:spacing w:line="360" w:lineRule="auto"/>
        <w:ind w:firstLine="472" w:firstLineChars="200"/>
        <w:rPr>
          <w:rFonts w:hint="eastAsia" w:asciiTheme="majorEastAsia" w:hAnsiTheme="majorEastAsia" w:eastAsiaTheme="majorEastAsia" w:cstheme="majorEastAsia"/>
          <w:b/>
          <w:bCs/>
          <w:spacing w:val="-3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（七）验收交付标准和方法：使用原厂测试盒或者高精度样品对测试范围和精度进行验证</w:t>
      </w:r>
    </w:p>
    <w:p>
      <w:pPr>
        <w:pStyle w:val="2"/>
        <w:spacing w:before="155" w:line="360" w:lineRule="auto"/>
        <w:ind w:left="50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3"/>
          <w:sz w:val="24"/>
          <w:szCs w:val="24"/>
          <w:highlight w:val="none"/>
          <w:lang w:eastAsia="zh-CN"/>
        </w:rPr>
        <w:t>十五、</w:t>
      </w:r>
      <w:r>
        <w:rPr>
          <w:rFonts w:hint="eastAsia" w:asciiTheme="majorEastAsia" w:hAnsiTheme="majorEastAsia" w:eastAsiaTheme="majorEastAsia" w:cstheme="majorEastAsia"/>
          <w:b/>
          <w:bCs/>
          <w:spacing w:val="-4"/>
          <w:sz w:val="24"/>
          <w:szCs w:val="24"/>
          <w:highlight w:val="none"/>
          <w:lang w:eastAsia="zh-CN"/>
        </w:rPr>
        <w:t>合同生效</w:t>
      </w:r>
    </w:p>
    <w:p>
      <w:pPr>
        <w:pStyle w:val="2"/>
        <w:spacing w:before="155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（一）本合同经双方签字盖章后生效。</w:t>
      </w:r>
    </w:p>
    <w:p>
      <w:pPr>
        <w:pStyle w:val="2"/>
        <w:spacing w:before="155" w:line="360" w:lineRule="auto"/>
        <w:ind w:left="22" w:right="63" w:firstLine="490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4"/>
          <w:sz w:val="24"/>
          <w:szCs w:val="24"/>
          <w:highlight w:val="none"/>
          <w:lang w:eastAsia="zh-CN"/>
        </w:rPr>
        <w:t>（二）本合同须经甲、乙双方的法定代表人（授权代理人）在合同书上签字并加</w:t>
      </w: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盖本单位公章后正式生效。</w:t>
      </w:r>
    </w:p>
    <w:p>
      <w:pPr>
        <w:pStyle w:val="2"/>
        <w:spacing w:before="157" w:line="360" w:lineRule="auto"/>
        <w:ind w:left="21" w:right="18" w:firstLine="491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（三）合同生效后，甲、乙双方须严格执行本合同条款</w:t>
      </w:r>
      <w:r>
        <w:rPr>
          <w:rFonts w:hint="eastAsia" w:asciiTheme="majorEastAsia" w:hAnsiTheme="majorEastAsia" w:eastAsiaTheme="majorEastAsia" w:cstheme="majorEastAsia"/>
          <w:spacing w:val="-3"/>
          <w:sz w:val="24"/>
          <w:szCs w:val="24"/>
          <w:highlight w:val="none"/>
          <w:lang w:eastAsia="zh-CN"/>
        </w:rPr>
        <w:t>的规定，全面履行合同，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违者按《中华人民共和国民法典》的有关规定承担相应责任。</w:t>
      </w:r>
    </w:p>
    <w:p>
      <w:pPr>
        <w:pStyle w:val="2"/>
        <w:spacing w:before="153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（四）本合同一式</w:t>
      </w: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-102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份，甲乙双方各执</w:t>
      </w: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pacing w:val="-110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2"/>
          <w:sz w:val="24"/>
          <w:szCs w:val="24"/>
          <w:highlight w:val="none"/>
          <w:lang w:eastAsia="zh-CN"/>
        </w:rPr>
        <w:t>份。</w:t>
      </w:r>
    </w:p>
    <w:p>
      <w:pPr>
        <w:pStyle w:val="2"/>
        <w:spacing w:before="157" w:line="360" w:lineRule="auto"/>
        <w:ind w:left="51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（五）本合同如有未尽事宜，甲、乙双方协商解决。</w:t>
      </w:r>
    </w:p>
    <w:p>
      <w:pPr>
        <w:spacing w:line="360" w:lineRule="auto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</w:pPr>
    </w:p>
    <w:p>
      <w:pPr>
        <w:pStyle w:val="2"/>
        <w:spacing w:before="78" w:line="360" w:lineRule="auto"/>
        <w:ind w:left="53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甲方</w:t>
      </w:r>
      <w:r>
        <w:rPr>
          <w:rFonts w:hint="eastAsia" w:asciiTheme="majorEastAsia" w:hAnsiTheme="majorEastAsia" w:eastAsiaTheme="majorEastAsia" w:cstheme="majorEastAsia"/>
          <w:spacing w:val="-17"/>
          <w:sz w:val="24"/>
          <w:szCs w:val="24"/>
          <w:highlight w:val="none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spacing w:val="61"/>
          <w:sz w:val="24"/>
          <w:szCs w:val="24"/>
          <w:highlight w:val="none"/>
          <w:lang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-17"/>
          <w:sz w:val="24"/>
          <w:szCs w:val="24"/>
          <w:highlight w:val="none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盖章）</w:t>
      </w:r>
      <w:r>
        <w:rPr>
          <w:rFonts w:hint="eastAsia" w:asciiTheme="majorEastAsia" w:hAnsiTheme="majorEastAsia" w:eastAsiaTheme="majorEastAsia" w:cstheme="majorEastAsia"/>
          <w:spacing w:val="6"/>
          <w:sz w:val="24"/>
          <w:szCs w:val="24"/>
          <w:highlight w:val="none"/>
          <w:lang w:eastAsia="zh-CN"/>
        </w:rPr>
        <w:t xml:space="preserve">              </w:t>
      </w: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乙方</w:t>
      </w:r>
      <w:r>
        <w:rPr>
          <w:rFonts w:hint="eastAsia" w:asciiTheme="majorEastAsia" w:hAnsiTheme="majorEastAsia" w:eastAsiaTheme="majorEastAsia" w:cstheme="majorEastAsia"/>
          <w:spacing w:val="-17"/>
          <w:sz w:val="24"/>
          <w:szCs w:val="24"/>
          <w:highlight w:val="none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spacing w:val="65"/>
          <w:sz w:val="24"/>
          <w:szCs w:val="24"/>
          <w:highlight w:val="none"/>
          <w:lang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-17"/>
          <w:sz w:val="24"/>
          <w:szCs w:val="24"/>
          <w:highlight w:val="none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>盖章）</w:t>
      </w:r>
    </w:p>
    <w:p>
      <w:pPr>
        <w:pStyle w:val="2"/>
        <w:spacing w:before="182" w:line="360" w:lineRule="auto"/>
        <w:ind w:left="50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</w:rPr>
        <w:t>法定代表人（委托代理人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>）：</w:t>
      </w:r>
      <w:r>
        <w:rPr>
          <w:rFonts w:hint="eastAsia" w:asciiTheme="majorEastAsia" w:hAnsiTheme="majorEastAsia" w:eastAsiaTheme="majorEastAsia" w:cstheme="majorEastAsia"/>
          <w:spacing w:val="10"/>
          <w:sz w:val="24"/>
          <w:szCs w:val="24"/>
          <w:highlight w:val="none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</w:rPr>
        <w:t>法定代表人（委托代理人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>）：</w:t>
      </w:r>
    </w:p>
    <w:p>
      <w:pPr>
        <w:pStyle w:val="2"/>
        <w:spacing w:before="182" w:line="360" w:lineRule="auto"/>
        <w:ind w:left="501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12"/>
          <w:sz w:val="24"/>
          <w:szCs w:val="24"/>
          <w:highlight w:val="none"/>
          <w:lang w:eastAsia="zh-CN"/>
        </w:rPr>
        <w:t>地</w:t>
      </w:r>
      <w:r>
        <w:rPr>
          <w:rFonts w:hint="eastAsia" w:asciiTheme="majorEastAsia" w:hAnsiTheme="majorEastAsia" w:eastAsiaTheme="majorEastAsia" w:cstheme="majorEastAsia"/>
          <w:spacing w:val="3"/>
          <w:sz w:val="24"/>
          <w:szCs w:val="24"/>
          <w:highlight w:val="none"/>
          <w:lang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pacing w:val="-12"/>
          <w:sz w:val="24"/>
          <w:szCs w:val="24"/>
          <w:highlight w:val="none"/>
          <w:lang w:eastAsia="zh-CN"/>
        </w:rPr>
        <w:t>址</w:t>
      </w:r>
      <w:r>
        <w:rPr>
          <w:rFonts w:hint="eastAsia" w:asciiTheme="majorEastAsia" w:hAnsiTheme="majorEastAsia" w:eastAsiaTheme="majorEastAsia" w:cstheme="majorEastAsia"/>
          <w:spacing w:val="-90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12"/>
          <w:sz w:val="24"/>
          <w:szCs w:val="24"/>
          <w:highlight w:val="none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  <w:t xml:space="preserve">                             </w:t>
      </w:r>
      <w:r>
        <w:rPr>
          <w:rFonts w:hint="eastAsia" w:asciiTheme="majorEastAsia" w:hAnsiTheme="majorEastAsia" w:eastAsiaTheme="majorEastAsia" w:cstheme="majorEastAsia"/>
          <w:spacing w:val="-12"/>
          <w:sz w:val="24"/>
          <w:szCs w:val="24"/>
          <w:highlight w:val="none"/>
          <w:lang w:eastAsia="zh-CN"/>
        </w:rPr>
        <w:t>地</w:t>
      </w:r>
      <w:r>
        <w:rPr>
          <w:rFonts w:hint="eastAsia" w:asciiTheme="majorEastAsia" w:hAnsiTheme="majorEastAsia" w:eastAsiaTheme="majorEastAsia" w:cstheme="majorEastAsia"/>
          <w:spacing w:val="4"/>
          <w:sz w:val="24"/>
          <w:szCs w:val="24"/>
          <w:highlight w:val="none"/>
          <w:lang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pacing w:val="-12"/>
          <w:sz w:val="24"/>
          <w:szCs w:val="24"/>
          <w:highlight w:val="none"/>
          <w:lang w:eastAsia="zh-CN"/>
        </w:rPr>
        <w:t>址：</w:t>
      </w:r>
    </w:p>
    <w:p>
      <w:pPr>
        <w:pStyle w:val="2"/>
        <w:spacing w:before="171" w:line="360" w:lineRule="auto"/>
        <w:ind w:left="502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  <w:t xml:space="preserve">开户银行：                      </w:t>
      </w:r>
      <w:r>
        <w:rPr>
          <w:rFonts w:hint="eastAsia" w:asciiTheme="majorEastAsia" w:hAnsiTheme="majorEastAsia" w:eastAsiaTheme="majorEastAsia" w:cstheme="majorEastAsia"/>
          <w:spacing w:val="-1"/>
          <w:sz w:val="24"/>
          <w:szCs w:val="24"/>
          <w:highlight w:val="none"/>
          <w:lang w:eastAsia="zh-CN"/>
        </w:rPr>
        <w:t xml:space="preserve">       开户银行：</w:t>
      </w:r>
    </w:p>
    <w:p>
      <w:pPr>
        <w:pStyle w:val="2"/>
        <w:spacing w:before="179" w:line="360" w:lineRule="auto"/>
        <w:ind w:left="504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5"/>
          <w:sz w:val="24"/>
          <w:szCs w:val="24"/>
          <w:highlight w:val="none"/>
          <w:lang w:eastAsia="zh-CN"/>
        </w:rPr>
        <w:t>账号：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  <w:t xml:space="preserve">                                 </w:t>
      </w:r>
      <w:r>
        <w:rPr>
          <w:rFonts w:hint="eastAsia" w:asciiTheme="majorEastAsia" w:hAnsiTheme="majorEastAsia" w:eastAsiaTheme="majorEastAsia" w:cstheme="majorEastAsia"/>
          <w:spacing w:val="-5"/>
          <w:sz w:val="24"/>
          <w:szCs w:val="24"/>
          <w:highlight w:val="none"/>
          <w:lang w:eastAsia="zh-CN"/>
        </w:rPr>
        <w:t>账号：</w:t>
      </w:r>
    </w:p>
    <w:p>
      <w:pPr>
        <w:spacing w:line="360" w:lineRule="auto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</w:pPr>
    </w:p>
    <w:p>
      <w:pPr>
        <w:spacing w:line="360" w:lineRule="auto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sectPr>
          <w:pgSz w:w="11906" w:h="16839"/>
          <w:pgMar w:top="1440" w:right="1268" w:bottom="1440" w:left="1785" w:header="624" w:footer="964" w:gutter="0"/>
          <w:pgNumType w:start="1"/>
          <w:cols w:space="720" w:num="1"/>
        </w:sectPr>
      </w:pP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a8455a4b-7504-48c3-9a3b-fddb710ef4a4"/>
  </w:docVars>
  <w:rsids>
    <w:rsidRoot w:val="3B31447E"/>
    <w:rsid w:val="0C7D4601"/>
    <w:rsid w:val="1D34206D"/>
    <w:rsid w:val="351C0C04"/>
    <w:rsid w:val="3B31447E"/>
    <w:rsid w:val="60E2185B"/>
    <w:rsid w:val="63773CF6"/>
    <w:rsid w:val="72B5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宋体" w:hAnsi="宋体" w:cs="宋体"/>
      <w:sz w:val="18"/>
      <w:szCs w:val="18"/>
      <w:lang w:eastAsia="en-US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Table Text"/>
    <w:basedOn w:val="1"/>
    <w:semiHidden/>
    <w:qFormat/>
    <w:uiPriority w:val="0"/>
    <w:rPr>
      <w:rFonts w:ascii="宋体" w:hAnsi="宋体" w:cs="宋体"/>
      <w:sz w:val="24"/>
      <w:szCs w:val="24"/>
      <w:lang w:eastAsia="en-US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2639</Words>
  <Characters>2673</Characters>
  <Lines>0</Lines>
  <Paragraphs>0</Paragraphs>
  <TotalTime>0</TotalTime>
  <ScaleCrop>false</ScaleCrop>
  <LinksUpToDate>false</LinksUpToDate>
  <CharactersWithSpaces>2948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2025-05-13T05:51:00Z</dcterms:created>
  <dc:creator>ANNY</dc:creator>
  <cp:lastModifiedBy>ANNY</cp:lastModifiedBy>
  <dcterms:modified xsi:type="dcterms:W3CDTF">2025-05-13T07:05:23Z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3F9B9CF5C2FB46DA9F5411B16DEEF26E_11</vt:lpwstr>
  </property>
</Properties>
</file>