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版本号：RH采字【20250503】号20250528003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深部温度-应力-水分三场耦合试验系统采购项目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RH采字【20250503】号</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深部温度-应力-水分三场耦合试验系统采购项目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RH采字【20250503】号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深部温度-应力-水分三场耦合试验系统采购项目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西安科技大学深部温度-应力-水分三场耦合试验系统采购项目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采购包1（西安科技大学深部温度-应力-水分三场耦合试验系统采购项目）：属于专门面向中小企业采购。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度或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p>
    <w:p>
      <w:pPr>
        <w:pStyle w:val="null3"/>
      </w:pPr>
      <w:r>
        <w:rPr>
          <w:rFonts w:ascii="仿宋_GB2312" w:hAnsi="仿宋_GB2312" w:cs="仿宋_GB2312" w:eastAsia="仿宋_GB2312"/>
        </w:rPr>
        <w:t>3、有依法缴纳税收的良好记录：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p>
      <w:pPr>
        <w:pStyle w:val="null3"/>
      </w:pPr>
      <w:r>
        <w:rPr>
          <w:rFonts w:ascii="仿宋_GB2312" w:hAnsi="仿宋_GB2312" w:cs="仿宋_GB2312" w:eastAsia="仿宋_GB2312"/>
        </w:rPr>
        <w:t>4、有依法缴纳社会保障资金的良好记录：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说明：供应商中标后凭中标通知书向采购人缴纳中标金额的5%作为履约保证金，采购人验收合格支付货款后，5%履约保证金无质量问题一次性无息退还。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依据西安科技大学委托代理协议,采购代理服务费参照国家计委颁发的《招标代理服务收费管理暂行办法》（计价格[2002]1980号）和国家发展改革委员会办公厅颁发的《关于招标代理服务收费有关问题的通知》（发改办价格[2003]857号）的有关规定下浮22.5%收取。中标人在领取中标通知书前，须向采购代理机构一次性支付招标代理服务费。 本项目类型：货物 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西安科技大学深部温度-应力-水分三场耦合试验系统采购项目，1批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1,480,000.00</w:t>
      </w:r>
    </w:p>
    <w:p>
      <w:pPr>
        <w:pStyle w:val="null3"/>
      </w:pPr>
      <w:r>
        <w:rPr>
          <w:rFonts w:ascii="仿宋_GB2312" w:hAnsi="仿宋_GB2312" w:cs="仿宋_GB2312" w:eastAsia="仿宋_GB2312"/>
        </w:rPr>
        <w:t>采购包最高限价（元）: 1,480,000.00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深部温度-应力-水分三场耦合试验系统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标的名称：深部温度-应力-水分三场耦合试验系统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竖向荷载</w:t>
            </w:r>
            <w:r>
              <w:rPr>
                <w:rFonts w:ascii="仿宋_GB2312" w:hAnsi="仿宋_GB2312" w:cs="仿宋_GB2312" w:eastAsia="仿宋_GB2312"/>
                <w:sz w:val="24"/>
              </w:rPr>
              <w:t>：</w:t>
            </w:r>
            <w:r>
              <w:rPr>
                <w:rFonts w:ascii="仿宋_GB2312" w:hAnsi="仿宋_GB2312" w:cs="仿宋_GB2312" w:eastAsia="仿宋_GB2312"/>
                <w:sz w:val="24"/>
              </w:rPr>
              <w:t>≥1200.0kN、力控制速率：0.01～15kN/s；</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2.作动器</w:t>
            </w:r>
            <w:r>
              <w:rPr>
                <w:rFonts w:ascii="仿宋_GB2312" w:hAnsi="仿宋_GB2312" w:cs="仿宋_GB2312" w:eastAsia="仿宋_GB2312"/>
                <w:sz w:val="24"/>
              </w:rPr>
              <w:t>（</w:t>
            </w:r>
            <w:r>
              <w:rPr>
                <w:rFonts w:ascii="仿宋_GB2312" w:hAnsi="仿宋_GB2312" w:cs="仿宋_GB2312" w:eastAsia="仿宋_GB2312"/>
                <w:sz w:val="24"/>
              </w:rPr>
              <w:t>常规加载系统</w:t>
            </w:r>
            <w:r>
              <w:rPr>
                <w:rFonts w:ascii="仿宋_GB2312" w:hAnsi="仿宋_GB2312" w:cs="仿宋_GB2312" w:eastAsia="仿宋_GB2312"/>
                <w:sz w:val="24"/>
              </w:rPr>
              <w:t>）</w:t>
            </w:r>
            <w:r>
              <w:rPr>
                <w:rFonts w:ascii="仿宋_GB2312" w:hAnsi="仿宋_GB2312" w:cs="仿宋_GB2312" w:eastAsia="仿宋_GB2312"/>
                <w:sz w:val="24"/>
              </w:rPr>
              <w:t>运动范围：</w:t>
            </w:r>
            <w:r>
              <w:rPr>
                <w:rFonts w:ascii="仿宋_GB2312" w:hAnsi="仿宋_GB2312" w:cs="仿宋_GB2312" w:eastAsia="仿宋_GB2312"/>
                <w:sz w:val="24"/>
              </w:rPr>
              <w:t>0～120.0mm、位移速率：0.001～15mm/s；</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力值测量精度：</w:t>
            </w:r>
            <w:r>
              <w:rPr>
                <w:rFonts w:ascii="仿宋_GB2312" w:hAnsi="仿宋_GB2312" w:cs="仿宋_GB2312" w:eastAsia="仿宋_GB2312"/>
                <w:sz w:val="24"/>
              </w:rPr>
              <w:t>≤±0.01%F.S、力值分辨率：≤0.001kN；</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4.作动器</w:t>
            </w:r>
            <w:r>
              <w:rPr>
                <w:rFonts w:ascii="仿宋_GB2312" w:hAnsi="仿宋_GB2312" w:cs="仿宋_GB2312" w:eastAsia="仿宋_GB2312"/>
                <w:sz w:val="24"/>
              </w:rPr>
              <w:t>（</w:t>
            </w:r>
            <w:r>
              <w:rPr>
                <w:rFonts w:ascii="仿宋_GB2312" w:hAnsi="仿宋_GB2312" w:cs="仿宋_GB2312" w:eastAsia="仿宋_GB2312"/>
                <w:sz w:val="24"/>
              </w:rPr>
              <w:t>快速加载系统</w:t>
            </w:r>
            <w:r>
              <w:rPr>
                <w:rFonts w:ascii="仿宋_GB2312" w:hAnsi="仿宋_GB2312" w:cs="仿宋_GB2312" w:eastAsia="仿宋_GB2312"/>
                <w:sz w:val="24"/>
              </w:rPr>
              <w:t>）</w:t>
            </w:r>
            <w:r>
              <w:rPr>
                <w:rFonts w:ascii="仿宋_GB2312" w:hAnsi="仿宋_GB2312" w:cs="仿宋_GB2312" w:eastAsia="仿宋_GB2312"/>
                <w:sz w:val="24"/>
              </w:rPr>
              <w:t>位移传感器</w:t>
            </w:r>
            <w:r>
              <w:rPr>
                <w:rFonts w:ascii="仿宋_GB2312" w:hAnsi="仿宋_GB2312" w:cs="仿宋_GB2312" w:eastAsia="仿宋_GB2312"/>
                <w:sz w:val="24"/>
              </w:rPr>
              <w:t>:位移测量精度：≤±0.01%F.S、位移分辨率：≤0.001mm、最大位移速度：≥1000mm/s；</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系统综合控制精度：</w:t>
            </w:r>
            <w:r>
              <w:rPr>
                <w:rFonts w:ascii="仿宋_GB2312" w:hAnsi="仿宋_GB2312" w:cs="仿宋_GB2312" w:eastAsia="仿宋_GB2312"/>
                <w:sz w:val="24"/>
              </w:rPr>
              <w:t>&lt;±0.5%F.S；</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6.水平应力：≥60.0MPa、水平应力速率：0.01～5MPa/s，与</w:t>
            </w:r>
            <w:r>
              <w:rPr>
                <w:rFonts w:ascii="仿宋_GB2312" w:hAnsi="仿宋_GB2312" w:cs="仿宋_GB2312" w:eastAsia="仿宋_GB2312"/>
                <w:sz w:val="24"/>
              </w:rPr>
              <w:t>垂直应力</w:t>
            </w:r>
            <w:r>
              <w:rPr>
                <w:rFonts w:ascii="仿宋_GB2312" w:hAnsi="仿宋_GB2312" w:cs="仿宋_GB2312" w:eastAsia="仿宋_GB2312"/>
                <w:sz w:val="24"/>
              </w:rPr>
              <w:t>同步加载：同步加载误差</w:t>
            </w:r>
            <w:r>
              <w:rPr>
                <w:rFonts w:ascii="仿宋_GB2312" w:hAnsi="仿宋_GB2312" w:cs="仿宋_GB2312" w:eastAsia="仿宋_GB2312"/>
                <w:sz w:val="24"/>
              </w:rPr>
              <w:t>≤0.1%；</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承压水：</w:t>
            </w:r>
            <w:r>
              <w:rPr>
                <w:rFonts w:ascii="仿宋_GB2312" w:hAnsi="仿宋_GB2312" w:cs="仿宋_GB2312" w:eastAsia="仿宋_GB2312"/>
                <w:sz w:val="24"/>
              </w:rPr>
              <w:t>0～60MPa、压力显示精度：≤0.001MPa，注入体积≤200mL；</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流量控制范围：</w:t>
            </w:r>
            <w:r>
              <w:rPr>
                <w:rFonts w:ascii="仿宋_GB2312" w:hAnsi="仿宋_GB2312" w:cs="仿宋_GB2312" w:eastAsia="仿宋_GB2312"/>
                <w:sz w:val="24"/>
              </w:rPr>
              <w:t>0.001～100mL/min、压力控制范围：0.001～60MPa；</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地层环境温度：室温～</w:t>
            </w:r>
            <w:r>
              <w:rPr>
                <w:rFonts w:ascii="仿宋_GB2312" w:hAnsi="仿宋_GB2312" w:cs="仿宋_GB2312" w:eastAsia="仿宋_GB2312"/>
                <w:sz w:val="24"/>
              </w:rPr>
              <w:t>100℃、温度控制精度：≤±0.5℃；</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升温速度：</w:t>
            </w:r>
            <w:r>
              <w:rPr>
                <w:rFonts w:ascii="仿宋_GB2312" w:hAnsi="仿宋_GB2312" w:cs="仿宋_GB2312" w:eastAsia="仿宋_GB2312"/>
                <w:sz w:val="24"/>
              </w:rPr>
              <w:t>5～200℃/h；</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竖向变形：</w:t>
            </w:r>
            <w:r>
              <w:rPr>
                <w:rFonts w:ascii="仿宋_GB2312" w:hAnsi="仿宋_GB2312" w:cs="仿宋_GB2312" w:eastAsia="仿宋_GB2312"/>
                <w:sz w:val="24"/>
              </w:rPr>
              <w:t>≥10mm、水平向变形：≥5mm、变形显示精度：≤0.0001mm；</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变形控制：</w:t>
            </w:r>
            <w:r>
              <w:rPr>
                <w:rFonts w:ascii="仿宋_GB2312" w:hAnsi="仿宋_GB2312" w:cs="仿宋_GB2312" w:eastAsia="仿宋_GB2312"/>
                <w:sz w:val="24"/>
              </w:rPr>
              <w:t>0.001～2mm/s；</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试样尺寸：</w:t>
            </w:r>
            <w:r>
              <w:rPr>
                <w:rFonts w:ascii="仿宋_GB2312" w:hAnsi="仿宋_GB2312" w:cs="仿宋_GB2312" w:eastAsia="仿宋_GB2312"/>
                <w:sz w:val="24"/>
              </w:rPr>
              <w:t>50mm×100mm；</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预留采集通道：</w:t>
            </w:r>
            <w:r>
              <w:rPr>
                <w:rFonts w:ascii="仿宋_GB2312" w:hAnsi="仿宋_GB2312" w:cs="仿宋_GB2312" w:eastAsia="仿宋_GB2312"/>
                <w:sz w:val="24"/>
              </w:rPr>
              <w:t>≥40通道，满足包括但不限于声、光、电等信号传输；</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数字孪生平台包括但不限于：动画展示、试验预演；</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运动控制器采用</w:t>
            </w:r>
            <w:r>
              <w:rPr>
                <w:rFonts w:ascii="仿宋_GB2312" w:hAnsi="仿宋_GB2312" w:cs="仿宋_GB2312" w:eastAsia="仿宋_GB2312"/>
                <w:sz w:val="24"/>
              </w:rPr>
              <w:t>≥32bit处理器，浮点≥160MHz，24h×365天独立完成设备监控，采样频率≥256kHz；</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控制器模拟信号分辨率</w:t>
            </w:r>
            <w:r>
              <w:rPr>
                <w:rFonts w:ascii="仿宋_GB2312" w:hAnsi="仿宋_GB2312" w:cs="仿宋_GB2312" w:eastAsia="仿宋_GB2312"/>
                <w:sz w:val="24"/>
              </w:rPr>
              <w:t>±100,000,000码；≥28位精度内部处理器，≥32位测量数据分辨率，≥32位采样和≥28位数模转换，模拟传感器采集精度误差≤±0.001%FS；</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100kHz信号输出频率，输出信号的分辨率≤ 0.003%FS，支持多轴/多作动器联动，并保证联动的相对误差，用以实现复杂准确的多点加载；</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采集控制软件实现包括但不限于压力、位移、变形、温度、水压力、流量、围压力、密封压力等参数在同一界面显示、同一数据库存储，实现数据同步分析，并提供证明文件；</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操作软件</w:t>
            </w:r>
            <w:r>
              <w:rPr>
                <w:rFonts w:ascii="仿宋_GB2312" w:hAnsi="仿宋_GB2312" w:cs="仿宋_GB2312" w:eastAsia="仿宋_GB2312"/>
                <w:sz w:val="24"/>
              </w:rPr>
              <w:t>，每次试验最大支持 ≥1000 万个采样数据点，试验数据频率为5~200Hz，可支持试验时间≥7d。最大支持的数据文件≥1000M 字节。数据文件将在试验结束后自动保存在指定目录下，数据文件格式包括但不限于 txt 文本文档。</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作动器（快速加载系统）</w:t>
            </w:r>
            <w:r>
              <w:rPr>
                <w:rFonts w:ascii="仿宋_GB2312" w:hAnsi="仿宋_GB2312" w:cs="仿宋_GB2312" w:eastAsia="仿宋_GB2312"/>
                <w:sz w:val="24"/>
              </w:rPr>
              <w:t>加载位移</w:t>
            </w:r>
            <w:r>
              <w:rPr>
                <w:rFonts w:ascii="仿宋_GB2312" w:hAnsi="仿宋_GB2312" w:cs="仿宋_GB2312" w:eastAsia="仿宋_GB2312"/>
                <w:sz w:val="24"/>
              </w:rPr>
              <w:t>:最快速度1000mm/s时最大剪切位移≥100mm，并提供证明文件；</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作动器（快速加载系统）</w:t>
            </w:r>
            <w:r>
              <w:rPr>
                <w:rFonts w:ascii="仿宋_GB2312" w:hAnsi="仿宋_GB2312" w:cs="仿宋_GB2312" w:eastAsia="仿宋_GB2312"/>
                <w:sz w:val="24"/>
              </w:rPr>
              <w:t>加载位移</w:t>
            </w:r>
            <w:r>
              <w:rPr>
                <w:rFonts w:ascii="仿宋_GB2312" w:hAnsi="仿宋_GB2312" w:cs="仿宋_GB2312" w:eastAsia="仿宋_GB2312"/>
                <w:sz w:val="24"/>
              </w:rPr>
              <w:t>:加载速度0.01mm-1000mm/s，并提供证明文件；</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试样加温到100℃以及室温-100℃最短升温时间≤30min，并提供证明文件；</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伺服控制系统模拟信号分辨率±100,000,000码及1000万点数据库，并提供证明文件</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4"/>
              </w:rPr>
              <w:t>25.投标人需提供产品详细设计原理图及三维图并作出对应说明。</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rPr>
              <w:t>系统配置要求</w:t>
            </w:r>
          </w:p>
          <w:p>
            <w:pPr>
              <w:pStyle w:val="null3"/>
              <w:ind w:left="1050"/>
              <w:jc w:val="both"/>
            </w:pPr>
            <w:r>
              <w:rPr>
                <w:rFonts w:ascii="仿宋_GB2312" w:hAnsi="仿宋_GB2312" w:cs="仿宋_GB2312" w:eastAsia="仿宋_GB2312"/>
                <w:sz w:val="24"/>
              </w:rPr>
              <w:t>1.主机反力机构1套</w:t>
            </w:r>
          </w:p>
          <w:p>
            <w:pPr>
              <w:pStyle w:val="null3"/>
              <w:ind w:left="1050"/>
              <w:jc w:val="both"/>
            </w:pPr>
            <w:r>
              <w:rPr>
                <w:rFonts w:ascii="仿宋_GB2312" w:hAnsi="仿宋_GB2312" w:cs="仿宋_GB2312" w:eastAsia="仿宋_GB2312"/>
                <w:sz w:val="24"/>
              </w:rPr>
              <w:t>2.运动作动器1套</w:t>
            </w:r>
            <w:r>
              <w:rPr>
                <w:rFonts w:ascii="仿宋_GB2312" w:hAnsi="仿宋_GB2312" w:cs="仿宋_GB2312" w:eastAsia="仿宋_GB2312"/>
                <w:sz w:val="24"/>
              </w:rPr>
              <w:t>（</w:t>
            </w:r>
            <w:r>
              <w:rPr>
                <w:rFonts w:ascii="仿宋_GB2312" w:hAnsi="仿宋_GB2312" w:cs="仿宋_GB2312" w:eastAsia="仿宋_GB2312"/>
                <w:sz w:val="24"/>
              </w:rPr>
              <w:t>包含常规加载系统和快速加载系统</w:t>
            </w:r>
            <w:r>
              <w:rPr>
                <w:rFonts w:ascii="仿宋_GB2312" w:hAnsi="仿宋_GB2312" w:cs="仿宋_GB2312" w:eastAsia="仿宋_GB2312"/>
                <w:sz w:val="24"/>
              </w:rPr>
              <w:t>）</w:t>
            </w:r>
          </w:p>
          <w:p>
            <w:pPr>
              <w:pStyle w:val="null3"/>
              <w:ind w:left="1050"/>
              <w:jc w:val="both"/>
            </w:pPr>
            <w:r>
              <w:rPr>
                <w:rFonts w:ascii="仿宋_GB2312" w:hAnsi="仿宋_GB2312" w:cs="仿宋_GB2312" w:eastAsia="仿宋_GB2312"/>
                <w:sz w:val="24"/>
              </w:rPr>
              <w:t>3.</w:t>
            </w:r>
            <w:r>
              <w:rPr>
                <w:rFonts w:ascii="仿宋_GB2312" w:hAnsi="仿宋_GB2312" w:cs="仿宋_GB2312" w:eastAsia="仿宋_GB2312"/>
                <w:sz w:val="24"/>
              </w:rPr>
              <w:t>试样安装运动</w:t>
            </w:r>
            <w:r>
              <w:rPr>
                <w:rFonts w:ascii="仿宋_GB2312" w:hAnsi="仿宋_GB2312" w:cs="仿宋_GB2312" w:eastAsia="仿宋_GB2312"/>
                <w:sz w:val="24"/>
              </w:rPr>
              <w:t>平台</w:t>
            </w:r>
            <w:r>
              <w:rPr>
                <w:rFonts w:ascii="仿宋_GB2312" w:hAnsi="仿宋_GB2312" w:cs="仿宋_GB2312" w:eastAsia="仿宋_GB2312"/>
                <w:sz w:val="24"/>
              </w:rPr>
              <w:t>1套</w:t>
            </w:r>
          </w:p>
          <w:p>
            <w:pPr>
              <w:pStyle w:val="null3"/>
              <w:ind w:left="1050"/>
              <w:jc w:val="both"/>
            </w:pPr>
            <w:r>
              <w:rPr>
                <w:rFonts w:ascii="仿宋_GB2312" w:hAnsi="仿宋_GB2312" w:cs="仿宋_GB2312" w:eastAsia="仿宋_GB2312"/>
                <w:sz w:val="24"/>
              </w:rPr>
              <w:t>4.承压室1套</w:t>
            </w:r>
          </w:p>
          <w:p>
            <w:pPr>
              <w:pStyle w:val="null3"/>
              <w:ind w:left="1050"/>
              <w:jc w:val="both"/>
            </w:pPr>
            <w:r>
              <w:rPr>
                <w:rFonts w:ascii="仿宋_GB2312" w:hAnsi="仿宋_GB2312" w:cs="仿宋_GB2312" w:eastAsia="仿宋_GB2312"/>
                <w:sz w:val="24"/>
              </w:rPr>
              <w:t>5.控制增压模块1套</w:t>
            </w:r>
          </w:p>
          <w:p>
            <w:pPr>
              <w:pStyle w:val="null3"/>
              <w:ind w:left="1050"/>
              <w:jc w:val="both"/>
            </w:pPr>
            <w:r>
              <w:rPr>
                <w:rFonts w:ascii="仿宋_GB2312" w:hAnsi="仿宋_GB2312" w:cs="仿宋_GB2312" w:eastAsia="仿宋_GB2312"/>
                <w:sz w:val="24"/>
              </w:rPr>
              <w:t>6.力测量装置3套</w:t>
            </w:r>
          </w:p>
          <w:p>
            <w:pPr>
              <w:pStyle w:val="null3"/>
              <w:ind w:left="1050"/>
              <w:jc w:val="both"/>
            </w:pPr>
            <w:r>
              <w:rPr>
                <w:rFonts w:ascii="仿宋_GB2312" w:hAnsi="仿宋_GB2312" w:cs="仿宋_GB2312" w:eastAsia="仿宋_GB2312"/>
                <w:sz w:val="24"/>
              </w:rPr>
              <w:t>7.位移测量装置1套</w:t>
            </w:r>
          </w:p>
          <w:p>
            <w:pPr>
              <w:pStyle w:val="null3"/>
              <w:ind w:left="1050"/>
              <w:jc w:val="both"/>
            </w:pPr>
            <w:r>
              <w:rPr>
                <w:rFonts w:ascii="仿宋_GB2312" w:hAnsi="仿宋_GB2312" w:cs="仿宋_GB2312" w:eastAsia="仿宋_GB2312"/>
                <w:sz w:val="24"/>
              </w:rPr>
              <w:t>8.变形测量装置2套</w:t>
            </w:r>
          </w:p>
          <w:p>
            <w:pPr>
              <w:pStyle w:val="null3"/>
              <w:ind w:left="1050"/>
              <w:jc w:val="both"/>
            </w:pPr>
            <w:r>
              <w:rPr>
                <w:rFonts w:ascii="仿宋_GB2312" w:hAnsi="仿宋_GB2312" w:cs="仿宋_GB2312" w:eastAsia="仿宋_GB2312"/>
                <w:sz w:val="24"/>
              </w:rPr>
              <w:t>9.承压水注入模块1套</w:t>
            </w:r>
          </w:p>
          <w:p>
            <w:pPr>
              <w:pStyle w:val="null3"/>
              <w:ind w:left="1050"/>
              <w:jc w:val="both"/>
            </w:pPr>
            <w:r>
              <w:rPr>
                <w:rFonts w:ascii="仿宋_GB2312" w:hAnsi="仿宋_GB2312" w:cs="仿宋_GB2312" w:eastAsia="仿宋_GB2312"/>
                <w:sz w:val="24"/>
              </w:rPr>
              <w:t>10.温控装置1套</w:t>
            </w:r>
          </w:p>
          <w:p>
            <w:pPr>
              <w:pStyle w:val="null3"/>
              <w:ind w:left="1050"/>
              <w:jc w:val="both"/>
            </w:pPr>
            <w:r>
              <w:rPr>
                <w:rFonts w:ascii="仿宋_GB2312" w:hAnsi="仿宋_GB2312" w:cs="仿宋_GB2312" w:eastAsia="仿宋_GB2312"/>
                <w:sz w:val="24"/>
              </w:rPr>
              <w:t>11.保温装置1套</w:t>
            </w:r>
          </w:p>
          <w:p>
            <w:pPr>
              <w:pStyle w:val="null3"/>
              <w:ind w:left="1050"/>
              <w:jc w:val="both"/>
            </w:pPr>
            <w:r>
              <w:rPr>
                <w:rFonts w:ascii="仿宋_GB2312" w:hAnsi="仿宋_GB2312" w:cs="仿宋_GB2312" w:eastAsia="仿宋_GB2312"/>
                <w:sz w:val="24"/>
              </w:rPr>
              <w:t>12.温度测量装置1套</w:t>
            </w:r>
          </w:p>
          <w:p>
            <w:pPr>
              <w:pStyle w:val="null3"/>
              <w:ind w:left="1050"/>
              <w:jc w:val="both"/>
            </w:pPr>
            <w:r>
              <w:rPr>
                <w:rFonts w:ascii="仿宋_GB2312" w:hAnsi="仿宋_GB2312" w:cs="仿宋_GB2312" w:eastAsia="仿宋_GB2312"/>
                <w:sz w:val="24"/>
              </w:rPr>
              <w:t>13.试验台液压系统1台</w:t>
            </w:r>
          </w:p>
          <w:p>
            <w:pPr>
              <w:pStyle w:val="null3"/>
              <w:ind w:left="1050"/>
              <w:jc w:val="both"/>
            </w:pPr>
            <w:r>
              <w:rPr>
                <w:rFonts w:ascii="仿宋_GB2312" w:hAnsi="仿宋_GB2312" w:cs="仿宋_GB2312" w:eastAsia="仿宋_GB2312"/>
                <w:sz w:val="24"/>
              </w:rPr>
              <w:t>14.高速高精度伺服控制器4套</w:t>
            </w:r>
          </w:p>
          <w:p>
            <w:pPr>
              <w:pStyle w:val="null3"/>
              <w:ind w:left="1050"/>
              <w:jc w:val="both"/>
            </w:pPr>
            <w:r>
              <w:rPr>
                <w:rFonts w:ascii="仿宋_GB2312" w:hAnsi="仿宋_GB2312" w:cs="仿宋_GB2312" w:eastAsia="仿宋_GB2312"/>
                <w:sz w:val="24"/>
              </w:rPr>
              <w:t>15.工业控制计算机1台</w:t>
            </w:r>
          </w:p>
          <w:p>
            <w:pPr>
              <w:pStyle w:val="null3"/>
              <w:ind w:left="1050"/>
              <w:jc w:val="both"/>
            </w:pPr>
            <w:r>
              <w:rPr>
                <w:rFonts w:ascii="仿宋_GB2312" w:hAnsi="仿宋_GB2312" w:cs="仿宋_GB2312" w:eastAsia="仿宋_GB2312"/>
                <w:sz w:val="24"/>
              </w:rPr>
              <w:t>16.控制软件1套</w:t>
            </w:r>
          </w:p>
          <w:p>
            <w:pPr>
              <w:pStyle w:val="null3"/>
              <w:ind w:left="1050"/>
              <w:jc w:val="both"/>
            </w:pPr>
            <w:r>
              <w:rPr>
                <w:rFonts w:ascii="仿宋_GB2312" w:hAnsi="仿宋_GB2312" w:cs="仿宋_GB2312" w:eastAsia="仿宋_GB2312"/>
                <w:sz w:val="24"/>
              </w:rPr>
              <w:t>17.相关紧固件1批</w:t>
            </w:r>
          </w:p>
          <w:p>
            <w:pPr>
              <w:pStyle w:val="null3"/>
              <w:ind w:left="1050"/>
              <w:jc w:val="both"/>
            </w:pPr>
            <w:r>
              <w:rPr>
                <w:rFonts w:ascii="仿宋_GB2312" w:hAnsi="仿宋_GB2312" w:cs="仿宋_GB2312" w:eastAsia="仿宋_GB2312"/>
                <w:sz w:val="24"/>
              </w:rPr>
              <w:t>18.技术文件1套</w:t>
            </w:r>
          </w:p>
          <w:p>
            <w:pPr>
              <w:pStyle w:val="null3"/>
              <w:ind w:left="1050"/>
              <w:jc w:val="both"/>
            </w:pPr>
            <w:r>
              <w:rPr>
                <w:rFonts w:ascii="仿宋_GB2312" w:hAnsi="仿宋_GB2312" w:cs="仿宋_GB2312" w:eastAsia="仿宋_GB2312"/>
                <w:sz w:val="24"/>
              </w:rPr>
              <w:t>19.专用工具1套</w:t>
            </w:r>
          </w:p>
          <w:p>
            <w:pPr>
              <w:pStyle w:val="null3"/>
              <w:ind w:left="1050"/>
              <w:jc w:val="both"/>
            </w:pPr>
            <w:r>
              <w:rPr>
                <w:rFonts w:ascii="仿宋_GB2312" w:hAnsi="仿宋_GB2312" w:cs="仿宋_GB2312" w:eastAsia="仿宋_GB2312"/>
                <w:sz w:val="24"/>
              </w:rPr>
              <w:t>20.液压油1台</w:t>
            </w:r>
          </w:p>
          <w:p>
            <w:pPr>
              <w:pStyle w:val="null3"/>
              <w:jc w:val="both"/>
            </w:pPr>
            <w:r>
              <w:rPr>
                <w:rFonts w:ascii="仿宋_GB2312" w:hAnsi="仿宋_GB2312" w:cs="仿宋_GB2312" w:eastAsia="仿宋_GB2312"/>
                <w:sz w:val="24"/>
              </w:rPr>
              <w:t xml:space="preserve">      21.密封件1套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合同签订之日起8个月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西安科技大学临潼校区骊山校园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合同签订后采购人支付40%合同金额的预付款（供应商在付款前必须开具全额增值税发票给采购人）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国内产品安装调试经学校验收合格后采购人一次性支付60%合同金额的余款（供应商在付款前必须开具全额增值税发票给采购人）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负责搬运，采购人提供必要的工作条件（水电等）。（2）采购人对投标人所交货物依照国家有关标准和双方确认的标准进行现场验收。质量达到要求的，验收通过；验收不合格的，限期退换。（3）如因货物的质量问题发生争议，由采购人属地质量监督部门进行质量鉴定；货物符合质量标准的，鉴定费由采购人承担；货物不符合质量标准的，鉴定费由投标人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（1）售后服务响应时间（质保期内）：即时响应（包括电话响应）；电话响应无法解决 24 小时内到达现场。修复时间 48 小时内解决；如在 48 小时内无法修复，则提供部件冗余服务或采取应急措施，提供相同产品或不低于故障产品规格档次的备用产品供采购人使用，以确保货物的正常使用。（2）项目质保期：1年。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1.乙方逾期服务，每天应按合同总价的千分之一向甲方支付违约金。如乙方逾期三十天仍未服务的， 甲方有权终止合同，乙方须按合同总价的百分之十计算，向甲方支付违约赔偿金，并全额退还甲方已付给乙方的款项。 2.甲方无正当理由拒绝服务，应向乙方支付合同总价款10%的违约金。 3.乙方所交的服务质量不符合合同约定、国家标准，所 供设备达不到约定技术要求的，乙方必须无条件退回全部款项，并向甲方支付合同总价款10%的赔偿金。 （2）争议解决方式： 本合同在履行过程中，如发生争议，双方友好协商解决，如协商不成，双方同意向签约地法院起诉解决。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货物用途说明：可进行岩石、土体、混凝土在水-热-力多场全耦合或者局部耦合条件下的单轴、三轴试验。2、为顺利推进政府采购电子化交易平台应用工作，供应商需要在线提交所有通过电子化交易平台实施的政府采购项目的响应文件，同时，线下提交纸质响应文件正本壹份、副本贰份。3、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投标文件截止时间之前，邮寄地址：陕西省西安市曲江新区雁翔路 3269号旺座曲江D座30层，联系人：王工，联系电话：15091632950）。4、若电子响应文件与纸质响应文件不一致的，以电子响应文件为准。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2023年度或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并进行电子签章。</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度或2024年度的财务报告（成立时间至提交投标文件截止时间不足一年的可提供成立后任意时段的资产负债表）或投标文件递交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投标文件递交截止时间前一年内至少一个月依法缴纳税收的相关凭据（时间以税款所属日期为准，凭据应有税务机关或代收机关的公章或业务专用章）；其他组织和自然人提供缴纳税收的凭据；依法免税的投标人应提供相关文件证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至少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投标人提交的相关资格证明材料.docx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 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商务响应满足第三章3.4商务要求、3.5其他要求（合格），任意一条不满足（不合格）</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基本分：所投产品的技术参数完全符合、响应招标文件要求，没有负偏离计30分，每有一项负偏离扣2分，扣完为止。 加分项：技术参数中参数性能优于招标文件要求，具有实际使用价值的提升，经评标委员会一致认定每有一项加1分最多加6分。备注：所有优于参数须提供佐证材料（佐证材料不限于产品彩页、检测报告、官网功能截图等），否则不予加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投标人需针对本项目提供完整的项目实施方案。内容包含：①供货组织安排、物力调配及保障措施②安装调试验收方案③项目实施进度计划 二、评审标准 1、完整性：方案须全面，对评审内容中的各项要求描述详细； 2、可实施性：切合本项目实际情况，实施步骤清晰、合理； 3、针对性：方案能够紧扣项目实际情况，内容科学合理。 三、赋分依据 ①供货组织安排、物力调配及保障措施：每完全满足一个评审标准得1分，基本满足一个评审标准得0.5分，未提供不得分，满分3分； ②安装调试验收方案：每完全满足一个评审标准得1分，基本满足一个评审标准得0.5分，未提供不得分，满分3分；③项目实施进度计划：每完全满足一个评审标准得1分，基本满足一个评审标准得0.5分，未提供不得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质量保证方案1</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 ①产品性能、使用寿命及效果：每完全满足一个评审标准得1分，基本满足一个评审标准得0.5分，未提供不得分，满分3分； ②质量保证措施：每完全满足一个评审标准得1分，基本满足一个评审标准得0.5分，未提供不得分，满分3分。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质量保证方案2</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根据各投标人响应的延长质保年限进行综合评定，以延长质保年限最长者为基准，计2分，其他投标人的延长质保年限分统一按照下列公式计算：(延长质保期/基准)x2=响应得分。仅满足招标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 2、可实施性：切合本项目实际情况，实施步骤清晰、合理； 3、针对性：方案能够紧扣项目实际情况，内容科学合理。 三、赋分标准 ①培训内容及方式：每完全满足一个评审标准得1分，基本满足一个评审标准得0.5分，未提供不得分，满分3分； ②培训计划安排：每完全满足一个评审标准得1分，基本满足一个评审标准得0.5分，未提供不得分，满分3分。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售后服务方案及应急处理方案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 ①售后服务范围及保障措施：每完全满足一个评审标准得1分，基本满足一个评审标准得0.5分，未提供不得分，满分3分； ②应急处理方案:每完全满足一个评审标准得1分，基本满足一个评审标准得0.5分，未提供不得分，满分3分。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投标人提供自2022年5月1日至今同类项目供货业绩（以签订合同时间为准），每提供一份合格业绩证明得1分，最高得5分。 备注：须提供完整合同，并加盖投标人公章，否则不得分。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格分统一采用低价优先法计算，即满足招标文件要求且价格最低的投标报价为评标基准价，其价格分为满分。其他投标人的价格分统一按照下列公式计算：价格分=（评标基准价/投标报价）X报价分值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详见附件：投标人提交的相关资格证明材料.docx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