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版本号：RH采字【20250503】号20250527002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深部温度-应力-水分三场耦合试验系统采购项目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RH采字【20250503】号</w:t>
      </w:r>
      <w:r>
        <w:br/>
      </w:r>
      <w:r>
        <w:br/>
      </w:r>
      <w:r>
        <w:br/>
      </w:r>
    </w:p>
    <w:p>
      <w:pPr>
        <w:pStyle w:val="null3"/>
        <w:jc w:val="center"/>
        <w:outlineLvl w:val="2"/>
      </w:pPr>
      <w:r>
        <w:rPr>
          <w:rFonts w:ascii="仿宋_GB2312" w:hAnsi="仿宋_GB2312" w:cs="仿宋_GB2312" w:eastAsia="仿宋_GB2312"/>
          <w:sz w:val="28"/>
          <w:b/>
        </w:rPr>
        <w:t>西安科技大学</w:t>
      </w:r>
    </w:p>
    <w:p>
      <w:pPr>
        <w:pStyle w:val="null3"/>
        <w:jc w:val="center"/>
        <w:outlineLvl w:val="2"/>
      </w:pPr>
      <w:r>
        <w:rPr>
          <w:rFonts w:ascii="仿宋_GB2312" w:hAnsi="仿宋_GB2312" w:cs="仿宋_GB2312" w:eastAsia="仿宋_GB2312"/>
          <w:sz w:val="28"/>
          <w:b/>
        </w:rPr>
        <w:t>瑞恒项目管理有限公司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瑞恒项目管理有限公司</w:t>
      </w:r>
      <w:r>
        <w:rPr>
          <w:rFonts w:ascii="仿宋_GB2312" w:hAnsi="仿宋_GB2312" w:cs="仿宋_GB2312" w:eastAsia="仿宋_GB2312"/>
        </w:rPr>
        <w:t>（以下简称“代理机构”）受</w:t>
      </w:r>
      <w:r>
        <w:rPr>
          <w:rFonts w:ascii="仿宋_GB2312" w:hAnsi="仿宋_GB2312" w:cs="仿宋_GB2312" w:eastAsia="仿宋_GB2312"/>
        </w:rPr>
        <w:t>西安科技大学</w:t>
      </w:r>
      <w:r>
        <w:rPr>
          <w:rFonts w:ascii="仿宋_GB2312" w:hAnsi="仿宋_GB2312" w:cs="仿宋_GB2312" w:eastAsia="仿宋_GB2312"/>
        </w:rPr>
        <w:t>委托，拟对</w:t>
      </w:r>
      <w:r>
        <w:rPr>
          <w:rFonts w:ascii="仿宋_GB2312" w:hAnsi="仿宋_GB2312" w:cs="仿宋_GB2312" w:eastAsia="仿宋_GB2312"/>
        </w:rPr>
        <w:t>深部温度-应力-水分三场耦合试验系统采购项目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RH采字【20250503】号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深部温度-应力-水分三场耦合试验系统采购项目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西安科技大学深部温度-应力-水分三场耦合试验系统采购项目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采购包1（西安科技大学深部温度-应力-水分三场耦合试验系统采购项目）：属于专门面向中小企业采购。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1、具有独立承担民事责任的能力：具有独立承担民事责任能力的法人、其他组织或自然人，提供合法有效的统一社会信用代码营业执照（事业单位提供法人证书，自然人提供身份证）。</w:t>
      </w:r>
    </w:p>
    <w:p>
      <w:pPr>
        <w:pStyle w:val="null3"/>
      </w:pPr>
      <w:r>
        <w:rPr>
          <w:rFonts w:ascii="仿宋_GB2312" w:hAnsi="仿宋_GB2312" w:cs="仿宋_GB2312" w:eastAsia="仿宋_GB2312"/>
        </w:rPr>
        <w:t>2、具有良好的商业信誉和健全的财务会计制度：法人提供经审计的2023年度或2024年度的财务报告（成立时间至提交投标文件截止时间不足一年的可提供成立后任意时段的资产负债表）或投标文件递交截止时间前六个月内银行出具的资信证明；其他组织和自然人提供银行出具的资信证明或财务报表；</w:t>
      </w:r>
    </w:p>
    <w:p>
      <w:pPr>
        <w:pStyle w:val="null3"/>
      </w:pPr>
      <w:r>
        <w:rPr>
          <w:rFonts w:ascii="仿宋_GB2312" w:hAnsi="仿宋_GB2312" w:cs="仿宋_GB2312" w:eastAsia="仿宋_GB2312"/>
        </w:rPr>
        <w:t>3、有依法缴纳税收的良好记录：法人提供投标文件递交截止时间前一年内至少一个月依法缴纳税收的相关凭据（时间以税款所属日期为准，凭据应有税务机关或代收机关的公章或业务专用章）；其他组织和自然人提供缴纳税收的凭据；依法免税的投标人应提供相关文件证明；</w:t>
      </w:r>
    </w:p>
    <w:p>
      <w:pPr>
        <w:pStyle w:val="null3"/>
      </w:pPr>
      <w:r>
        <w:rPr>
          <w:rFonts w:ascii="仿宋_GB2312" w:hAnsi="仿宋_GB2312" w:cs="仿宋_GB2312" w:eastAsia="仿宋_GB2312"/>
        </w:rPr>
        <w:t>4、有依法缴纳社会保障资金的良好记录：提供投标文件递交截止时间前一年内至少一个月已缴纳的社会保障资金的凭据（社会保障资金缴存单据或社保机构开具的社会保险参保缴费情况证明）；依法不需要缴纳社会保障资金的投标人应提供相关文件证明；</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7、法定代表人授权书、法定代表人身份证明合格：提供合格的法定代表人授权书（附法定代表人、被授权人身份证复印件）或法定代表人身份证明（法定代表人直接参加的）。</w:t>
      </w:r>
    </w:p>
    <w:p>
      <w:pPr>
        <w:pStyle w:val="null3"/>
      </w:pPr>
      <w:r>
        <w:rPr>
          <w:rFonts w:ascii="仿宋_GB2312" w:hAnsi="仿宋_GB2312" w:cs="仿宋_GB2312" w:eastAsia="仿宋_GB2312"/>
        </w:rPr>
        <w:t>8、信用承诺：提供未被“信用中国”网站（www.creditchina.gov.cn）列入失信被执行人或重大税收违法失信主体名单，未被财政部门在中国政府采购网（www.ccgp.gov.cn）政府采购严重违法失信行为记录名单中禁止参加政府采购活动的承诺。</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西安市雁塔路58号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029-83858191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瑞恒项目管理有限公司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陕西省西安市雁塔区陕西省西安市曲江新区雁翔路3269号旺座曲江D座30层3001号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石雨鑫、张丰利、刘菲、王倩倩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15091632950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采购包1：1,480,000.00元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说明：供应商中标后凭中标通知书向采购人缴纳中标金额的5%作为履约保证金，采购人验收合格支付货款后，5%履约保证金无质量问题一次性无息退还。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依据西安科技大学委托代理协议,采购代理服务费参照国家计委颁发的《招标代理服务收费管理暂行办法》（计价格[2002]1980号）和国家发展改革委员会办公厅颁发的《关于招标代理服务收费有关问题的通知》（发改办价格[2003]857号）的有关规定下浮22.5%收取。中标人在领取中标通知书前，须向采购代理机构一次性支付招标代理服务费。 本项目类型：货物 户名：瑞恒项目管理有限公司 开户行：工行西安城南科技支行 账号：3700024819200044620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西安科技大学</w:t>
      </w:r>
      <w:r>
        <w:rPr>
          <w:rFonts w:ascii="仿宋_GB2312" w:hAnsi="仿宋_GB2312" w:cs="仿宋_GB2312" w:eastAsia="仿宋_GB2312"/>
        </w:rPr>
        <w:t>和</w:t>
      </w:r>
      <w:r>
        <w:rPr>
          <w:rFonts w:ascii="仿宋_GB2312" w:hAnsi="仿宋_GB2312" w:cs="仿宋_GB2312" w:eastAsia="仿宋_GB2312"/>
        </w:rPr>
        <w:t>瑞恒项目管理有限公司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西安科技大学</w:t>
      </w:r>
      <w:r>
        <w:rPr>
          <w:rFonts w:ascii="仿宋_GB2312" w:hAnsi="仿宋_GB2312" w:cs="仿宋_GB2312" w:eastAsia="仿宋_GB2312"/>
        </w:rPr>
        <w:t>负责解释。除上述招标文件内容，其他内容由</w:t>
      </w:r>
      <w:r>
        <w:rPr>
          <w:rFonts w:ascii="仿宋_GB2312" w:hAnsi="仿宋_GB2312" w:cs="仿宋_GB2312" w:eastAsia="仿宋_GB2312"/>
        </w:rPr>
        <w:t>瑞恒项目管理有限公司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瑞恒项目管理有限公司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1、验收分初次开箱验收和学校最终验收两个阶段，以最终验收为准；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联系人：石雨鑫、张丰利、刘菲、王倩倩</w:t>
      </w:r>
    </w:p>
    <w:p>
      <w:pPr>
        <w:pStyle w:val="null3"/>
      </w:pPr>
      <w:r>
        <w:rPr>
          <w:rFonts w:ascii="仿宋_GB2312" w:hAnsi="仿宋_GB2312" w:cs="仿宋_GB2312" w:eastAsia="仿宋_GB2312"/>
        </w:rPr>
        <w:t>联系电话：15091632950</w:t>
      </w:r>
    </w:p>
    <w:p>
      <w:pPr>
        <w:pStyle w:val="null3"/>
      </w:pPr>
      <w:r>
        <w:rPr>
          <w:rFonts w:ascii="仿宋_GB2312" w:hAnsi="仿宋_GB2312" w:cs="仿宋_GB2312" w:eastAsia="仿宋_GB2312"/>
        </w:rPr>
        <w:t>地址：陕西省西安市曲江新区雁翔路3269号旺座曲江D座30层</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西安科技大学深部温度-应力-水分三场耦合试验系统采购项目，1批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1,480,000.00</w:t>
      </w:r>
    </w:p>
    <w:p>
      <w:pPr>
        <w:pStyle w:val="null3"/>
      </w:pPr>
      <w:r>
        <w:rPr>
          <w:rFonts w:ascii="仿宋_GB2312" w:hAnsi="仿宋_GB2312" w:cs="仿宋_GB2312" w:eastAsia="仿宋_GB2312"/>
        </w:rPr>
        <w:t>采购包最高限价（元）: 1,480,000.00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深部温度-应力-水分三场耦合试验系统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1,480,000.00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标的名称：深部温度-应力-水分三场耦合试验系统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模拟</w:t>
            </w:r>
            <w:r>
              <w:rPr>
                <w:rFonts w:ascii="仿宋_GB2312" w:hAnsi="仿宋_GB2312" w:cs="仿宋_GB2312" w:eastAsia="仿宋_GB2312"/>
                <w:sz w:val="24"/>
              </w:rPr>
              <w:t>地层应力：</w:t>
            </w:r>
            <w:r>
              <w:rPr>
                <w:rFonts w:ascii="仿宋_GB2312" w:hAnsi="仿宋_GB2312" w:cs="仿宋_GB2312" w:eastAsia="仿宋_GB2312"/>
                <w:sz w:val="24"/>
              </w:rPr>
              <w:t>≥1200.0kN、力控制速率：0.01～15kN/s；</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作动器运动范围：</w:t>
            </w:r>
            <w:r>
              <w:rPr>
                <w:rFonts w:ascii="仿宋_GB2312" w:hAnsi="仿宋_GB2312" w:cs="仿宋_GB2312" w:eastAsia="仿宋_GB2312"/>
                <w:sz w:val="24"/>
              </w:rPr>
              <w:t>0～120.0mm、位移速率：0.001～15mm/s；</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力值测量精度：</w:t>
            </w:r>
            <w:r>
              <w:rPr>
                <w:rFonts w:ascii="仿宋_GB2312" w:hAnsi="仿宋_GB2312" w:cs="仿宋_GB2312" w:eastAsia="仿宋_GB2312"/>
                <w:sz w:val="24"/>
              </w:rPr>
              <w:t>≤±0.01%F.S、力值分辨率：≤0.001kN；</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4"/>
              </w:rPr>
              <w:t>4.油缸位移传感器:位移测量精度：≤±0.01%F.S、位移分辨率：≤0.001mm、最大位移速度：≥1000mm/s；</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系统综合控制精度：</w:t>
            </w:r>
            <w:r>
              <w:rPr>
                <w:rFonts w:ascii="仿宋_GB2312" w:hAnsi="仿宋_GB2312" w:cs="仿宋_GB2312" w:eastAsia="仿宋_GB2312"/>
                <w:sz w:val="24"/>
              </w:rPr>
              <w:t>&lt;±0.5%F.S；</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水平应力：</w:t>
            </w:r>
            <w:r>
              <w:rPr>
                <w:rFonts w:ascii="仿宋_GB2312" w:hAnsi="仿宋_GB2312" w:cs="仿宋_GB2312" w:eastAsia="仿宋_GB2312"/>
                <w:sz w:val="24"/>
              </w:rPr>
              <w:t>≥60.0MPa、水平应力速率：0.01～5MPa/s，与地应力同步加载：同步加载误差≤0.1%；</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承压水：</w:t>
            </w:r>
            <w:r>
              <w:rPr>
                <w:rFonts w:ascii="仿宋_GB2312" w:hAnsi="仿宋_GB2312" w:cs="仿宋_GB2312" w:eastAsia="仿宋_GB2312"/>
                <w:sz w:val="24"/>
              </w:rPr>
              <w:t>0～60MPa、压力显示精度：≤0.001MPa，注入体积≤200mL；</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流量控制范围：</w:t>
            </w:r>
            <w:r>
              <w:rPr>
                <w:rFonts w:ascii="仿宋_GB2312" w:hAnsi="仿宋_GB2312" w:cs="仿宋_GB2312" w:eastAsia="仿宋_GB2312"/>
                <w:sz w:val="24"/>
              </w:rPr>
              <w:t>0.001～100mL/min、压力控制范围：0.001～60MPa；</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地层环境温度：室温～</w:t>
            </w:r>
            <w:r>
              <w:rPr>
                <w:rFonts w:ascii="仿宋_GB2312" w:hAnsi="仿宋_GB2312" w:cs="仿宋_GB2312" w:eastAsia="仿宋_GB2312"/>
                <w:sz w:val="24"/>
              </w:rPr>
              <w:t>100℃、温度控制精度：≤±0.5℃；</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升温速度：</w:t>
            </w:r>
            <w:r>
              <w:rPr>
                <w:rFonts w:ascii="仿宋_GB2312" w:hAnsi="仿宋_GB2312" w:cs="仿宋_GB2312" w:eastAsia="仿宋_GB2312"/>
                <w:sz w:val="24"/>
              </w:rPr>
              <w:t>5～200℃/h；</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竖向变形：</w:t>
            </w:r>
            <w:r>
              <w:rPr>
                <w:rFonts w:ascii="仿宋_GB2312" w:hAnsi="仿宋_GB2312" w:cs="仿宋_GB2312" w:eastAsia="仿宋_GB2312"/>
                <w:sz w:val="24"/>
              </w:rPr>
              <w:t>≥10mm、水平向变形：≥5mm、变形显示精度：≤0.0001mm；</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jc w:val="both"/>
            </w:pPr>
            <w:r>
              <w:rPr>
                <w:rFonts w:ascii="仿宋_GB2312" w:hAnsi="仿宋_GB2312" w:cs="仿宋_GB2312" w:eastAsia="仿宋_GB2312"/>
                <w:sz w:val="24"/>
              </w:rPr>
              <w:t>12.</w:t>
            </w:r>
            <w:r>
              <w:rPr>
                <w:rFonts w:ascii="仿宋_GB2312" w:hAnsi="仿宋_GB2312" w:cs="仿宋_GB2312" w:eastAsia="仿宋_GB2312"/>
                <w:sz w:val="24"/>
              </w:rPr>
              <w:t>变形控制：</w:t>
            </w:r>
            <w:r>
              <w:rPr>
                <w:rFonts w:ascii="仿宋_GB2312" w:hAnsi="仿宋_GB2312" w:cs="仿宋_GB2312" w:eastAsia="仿宋_GB2312"/>
                <w:sz w:val="24"/>
              </w:rPr>
              <w:t>0.001～2mm/s；</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jc w:val="both"/>
            </w:pPr>
            <w:r>
              <w:rPr>
                <w:rFonts w:ascii="仿宋_GB2312" w:hAnsi="仿宋_GB2312" w:cs="仿宋_GB2312" w:eastAsia="仿宋_GB2312"/>
                <w:sz w:val="24"/>
              </w:rPr>
              <w:t>13.</w:t>
            </w:r>
            <w:r>
              <w:rPr>
                <w:rFonts w:ascii="仿宋_GB2312" w:hAnsi="仿宋_GB2312" w:cs="仿宋_GB2312" w:eastAsia="仿宋_GB2312"/>
                <w:sz w:val="24"/>
              </w:rPr>
              <w:t>试样尺寸：</w:t>
            </w:r>
            <w:r>
              <w:rPr>
                <w:rFonts w:ascii="仿宋_GB2312" w:hAnsi="仿宋_GB2312" w:cs="仿宋_GB2312" w:eastAsia="仿宋_GB2312"/>
                <w:sz w:val="24"/>
              </w:rPr>
              <w:t>50mm×100mm；</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jc w:val="both"/>
            </w:pPr>
            <w:r>
              <w:rPr>
                <w:rFonts w:ascii="仿宋_GB2312" w:hAnsi="仿宋_GB2312" w:cs="仿宋_GB2312" w:eastAsia="仿宋_GB2312"/>
                <w:sz w:val="24"/>
              </w:rPr>
              <w:t>14.</w:t>
            </w:r>
            <w:r>
              <w:rPr>
                <w:rFonts w:ascii="仿宋_GB2312" w:hAnsi="仿宋_GB2312" w:cs="仿宋_GB2312" w:eastAsia="仿宋_GB2312"/>
                <w:sz w:val="24"/>
              </w:rPr>
              <w:t>预留采集通道：</w:t>
            </w:r>
            <w:r>
              <w:rPr>
                <w:rFonts w:ascii="仿宋_GB2312" w:hAnsi="仿宋_GB2312" w:cs="仿宋_GB2312" w:eastAsia="仿宋_GB2312"/>
                <w:sz w:val="24"/>
              </w:rPr>
              <w:t>≥40通道，满足包括但不限于声、光、电等信号传输；</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jc w:val="both"/>
            </w:pPr>
            <w:r>
              <w:rPr>
                <w:rFonts w:ascii="仿宋_GB2312" w:hAnsi="仿宋_GB2312" w:cs="仿宋_GB2312" w:eastAsia="仿宋_GB2312"/>
                <w:sz w:val="24"/>
              </w:rPr>
              <w:t>15.</w:t>
            </w:r>
            <w:r>
              <w:rPr>
                <w:rFonts w:ascii="仿宋_GB2312" w:hAnsi="仿宋_GB2312" w:cs="仿宋_GB2312" w:eastAsia="仿宋_GB2312"/>
                <w:sz w:val="24"/>
              </w:rPr>
              <w:t>数字孪生平台包括但不限于：动画展示、试验预演；</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jc w:val="both"/>
            </w:pPr>
            <w:r>
              <w:rPr>
                <w:rFonts w:ascii="仿宋_GB2312" w:hAnsi="仿宋_GB2312" w:cs="仿宋_GB2312" w:eastAsia="仿宋_GB2312"/>
                <w:sz w:val="24"/>
              </w:rPr>
              <w:t>16.</w:t>
            </w:r>
            <w:r>
              <w:rPr>
                <w:rFonts w:ascii="仿宋_GB2312" w:hAnsi="仿宋_GB2312" w:cs="仿宋_GB2312" w:eastAsia="仿宋_GB2312"/>
                <w:sz w:val="24"/>
              </w:rPr>
              <w:t>运动控制器采用</w:t>
            </w:r>
            <w:r>
              <w:rPr>
                <w:rFonts w:ascii="仿宋_GB2312" w:hAnsi="仿宋_GB2312" w:cs="仿宋_GB2312" w:eastAsia="仿宋_GB2312"/>
                <w:sz w:val="24"/>
              </w:rPr>
              <w:t>≥32bit处理器，浮点≥160MHz，24h×365天独立完成设备监控，采样频率≥256kHz；</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jc w:val="both"/>
            </w:pPr>
            <w:r>
              <w:rPr>
                <w:rFonts w:ascii="仿宋_GB2312" w:hAnsi="仿宋_GB2312" w:cs="仿宋_GB2312" w:eastAsia="仿宋_GB2312"/>
                <w:sz w:val="24"/>
              </w:rPr>
              <w:t>17.</w:t>
            </w:r>
            <w:r>
              <w:rPr>
                <w:rFonts w:ascii="仿宋_GB2312" w:hAnsi="仿宋_GB2312" w:cs="仿宋_GB2312" w:eastAsia="仿宋_GB2312"/>
                <w:sz w:val="24"/>
              </w:rPr>
              <w:t>控制器模拟信号分辨率</w:t>
            </w:r>
            <w:r>
              <w:rPr>
                <w:rFonts w:ascii="仿宋_GB2312" w:hAnsi="仿宋_GB2312" w:cs="仿宋_GB2312" w:eastAsia="仿宋_GB2312"/>
                <w:sz w:val="24"/>
              </w:rPr>
              <w:t>±100,000,000码；≥28位精度内部处理器，≥32位测量数据分辨率，≥32位采样和≥28位数模转换，模拟传感器采集精度误差≤±0.001%FS；</w:t>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jc w:val="both"/>
            </w:pPr>
            <w:r>
              <w:rPr>
                <w:rFonts w:ascii="仿宋_GB2312" w:hAnsi="仿宋_GB2312" w:cs="仿宋_GB2312" w:eastAsia="仿宋_GB2312"/>
                <w:sz w:val="24"/>
              </w:rPr>
              <w:t>18.</w:t>
            </w:r>
            <w:r>
              <w:rPr>
                <w:rFonts w:ascii="仿宋_GB2312" w:hAnsi="仿宋_GB2312" w:cs="仿宋_GB2312" w:eastAsia="仿宋_GB2312"/>
                <w:sz w:val="24"/>
              </w:rPr>
              <w:t>100kHz信号输出频率，输出信号的分辨率≤ 0.003%FS，支持多轴/多作动器联动，并保证联动的相对误差，用以实现复杂准确的多点加载；</w:t>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jc w:val="both"/>
            </w:pPr>
            <w:r>
              <w:rPr>
                <w:rFonts w:ascii="仿宋_GB2312" w:hAnsi="仿宋_GB2312" w:cs="仿宋_GB2312" w:eastAsia="仿宋_GB2312"/>
                <w:sz w:val="24"/>
              </w:rPr>
              <w:t>19.</w:t>
            </w:r>
            <w:r>
              <w:rPr>
                <w:rFonts w:ascii="仿宋_GB2312" w:hAnsi="仿宋_GB2312" w:cs="仿宋_GB2312" w:eastAsia="仿宋_GB2312"/>
                <w:sz w:val="24"/>
              </w:rPr>
              <w:t>采集控制软件实现包括但不限于压力、位移、变形、温度、水压力、流量、围压力、密封压力等参数在同一界面显示、同一数据库存储，实现数据同步分析，并提供证明文件；</w:t>
            </w:r>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p>
            <w:pPr>
              <w:pStyle w:val="null3"/>
              <w:jc w:val="both"/>
            </w:pPr>
            <w:r>
              <w:rPr>
                <w:rFonts w:ascii="仿宋_GB2312" w:hAnsi="仿宋_GB2312" w:cs="仿宋_GB2312" w:eastAsia="仿宋_GB2312"/>
                <w:sz w:val="24"/>
              </w:rPr>
              <w:t>20.</w:t>
            </w:r>
            <w:r>
              <w:rPr>
                <w:rFonts w:ascii="仿宋_GB2312" w:hAnsi="仿宋_GB2312" w:cs="仿宋_GB2312" w:eastAsia="仿宋_GB2312"/>
                <w:sz w:val="24"/>
              </w:rPr>
              <w:t>操作软件</w:t>
            </w:r>
            <w:r>
              <w:rPr>
                <w:rFonts w:ascii="仿宋_GB2312" w:hAnsi="仿宋_GB2312" w:cs="仿宋_GB2312" w:eastAsia="仿宋_GB2312"/>
                <w:sz w:val="24"/>
              </w:rPr>
              <w:t>，每次试验最大支持 ≥1000 万个采样数据点，试验数据频率为5~200Hz，可支持试验时间≥7d。最大支持的数据文件≥1000M 字节。数据文件将在试验结束后自动保存在指定目录下，数据文件格式包括但不限于 txt 文本文档。</w:t>
            </w:r>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p>
            <w:pPr>
              <w:pStyle w:val="null3"/>
              <w:jc w:val="both"/>
            </w:pPr>
            <w:r>
              <w:rPr>
                <w:rFonts w:ascii="仿宋_GB2312" w:hAnsi="仿宋_GB2312" w:cs="仿宋_GB2312" w:eastAsia="仿宋_GB2312"/>
                <w:sz w:val="24"/>
              </w:rPr>
              <w:t>21.液压缸加载位移:最快速度1000mm/s时最大剪切位移≥100mm，并提供证明文件；</w:t>
            </w:r>
          </w:p>
        </w:tc>
      </w:tr>
      <w:tr>
        <w:tc>
          <w:tcPr>
            <w:tcW w:type="dxa" w:w="2769"/>
          </w:tcPr>
          <w:p>
            <w:pPr>
              <w:pStyle w:val="null3"/>
            </w:pPr>
            <w:r>
              <w:rPr>
                <w:rFonts w:ascii="仿宋_GB2312" w:hAnsi="仿宋_GB2312" w:cs="仿宋_GB2312" w:eastAsia="仿宋_GB2312"/>
              </w:rPr>
              <w:t>22</w:t>
            </w:r>
          </w:p>
        </w:tc>
        <w:tc>
          <w:tcPr>
            <w:tcW w:type="dxa" w:w="2769"/>
          </w:tcPr>
          <w:p/>
        </w:tc>
        <w:tc>
          <w:tcPr>
            <w:tcW w:type="dxa" w:w="2769"/>
          </w:tcPr>
          <w:p>
            <w:pPr>
              <w:pStyle w:val="null3"/>
              <w:jc w:val="both"/>
            </w:pPr>
            <w:r>
              <w:rPr>
                <w:rFonts w:ascii="仿宋_GB2312" w:hAnsi="仿宋_GB2312" w:cs="仿宋_GB2312" w:eastAsia="仿宋_GB2312"/>
                <w:sz w:val="24"/>
              </w:rPr>
              <w:t>22.液压缸加载位移:加载速度0.01mm-1000mm/s，并提供证明文件；</w:t>
            </w:r>
          </w:p>
        </w:tc>
      </w:tr>
      <w:tr>
        <w:tc>
          <w:tcPr>
            <w:tcW w:type="dxa" w:w="2769"/>
          </w:tcPr>
          <w:p>
            <w:pPr>
              <w:pStyle w:val="null3"/>
            </w:pPr>
            <w:r>
              <w:rPr>
                <w:rFonts w:ascii="仿宋_GB2312" w:hAnsi="仿宋_GB2312" w:cs="仿宋_GB2312" w:eastAsia="仿宋_GB2312"/>
              </w:rPr>
              <w:t>23</w:t>
            </w:r>
          </w:p>
        </w:tc>
        <w:tc>
          <w:tcPr>
            <w:tcW w:type="dxa" w:w="2769"/>
          </w:tcPr>
          <w:p/>
        </w:tc>
        <w:tc>
          <w:tcPr>
            <w:tcW w:type="dxa" w:w="2769"/>
          </w:tcPr>
          <w:p>
            <w:pPr>
              <w:pStyle w:val="null3"/>
              <w:jc w:val="both"/>
            </w:pPr>
            <w:r>
              <w:rPr>
                <w:rFonts w:ascii="仿宋_GB2312" w:hAnsi="仿宋_GB2312" w:cs="仿宋_GB2312" w:eastAsia="仿宋_GB2312"/>
                <w:sz w:val="24"/>
              </w:rPr>
              <w:t>23.</w:t>
            </w:r>
            <w:r>
              <w:rPr>
                <w:rFonts w:ascii="仿宋_GB2312" w:hAnsi="仿宋_GB2312" w:cs="仿宋_GB2312" w:eastAsia="仿宋_GB2312"/>
                <w:sz w:val="24"/>
              </w:rPr>
              <w:t>试样加温到100℃以及室温-100℃最短升温时间≤30min，并提供证明文件；</w:t>
            </w:r>
            <w:r>
              <w:rPr>
                <w:rFonts w:ascii="仿宋_GB2312" w:hAnsi="仿宋_GB2312" w:cs="仿宋_GB2312" w:eastAsia="仿宋_GB2312"/>
                <w:sz w:val="24"/>
              </w:rPr>
              <w:t>；</w:t>
            </w:r>
          </w:p>
        </w:tc>
      </w:tr>
      <w:tr>
        <w:tc>
          <w:tcPr>
            <w:tcW w:type="dxa" w:w="2769"/>
          </w:tcPr>
          <w:p>
            <w:pPr>
              <w:pStyle w:val="null3"/>
            </w:pPr>
            <w:r>
              <w:rPr>
                <w:rFonts w:ascii="仿宋_GB2312" w:hAnsi="仿宋_GB2312" w:cs="仿宋_GB2312" w:eastAsia="仿宋_GB2312"/>
              </w:rPr>
              <w:t>24</w:t>
            </w:r>
          </w:p>
        </w:tc>
        <w:tc>
          <w:tcPr>
            <w:tcW w:type="dxa" w:w="2769"/>
          </w:tcPr>
          <w:p/>
        </w:tc>
        <w:tc>
          <w:tcPr>
            <w:tcW w:type="dxa" w:w="2769"/>
          </w:tcPr>
          <w:p>
            <w:pPr>
              <w:pStyle w:val="null3"/>
              <w:jc w:val="both"/>
            </w:pPr>
            <w:r>
              <w:rPr>
                <w:rFonts w:ascii="仿宋_GB2312" w:hAnsi="仿宋_GB2312" w:cs="仿宋_GB2312" w:eastAsia="仿宋_GB2312"/>
                <w:sz w:val="24"/>
              </w:rPr>
              <w:t>24.</w:t>
            </w:r>
            <w:r>
              <w:rPr>
                <w:rFonts w:ascii="仿宋_GB2312" w:hAnsi="仿宋_GB2312" w:cs="仿宋_GB2312" w:eastAsia="仿宋_GB2312"/>
                <w:sz w:val="24"/>
              </w:rPr>
              <w:t>伺服控制系统模拟信号分辨率±100,000,000码及1000万点数据库，并提供证明文件</w:t>
            </w:r>
            <w:r>
              <w:rPr>
                <w:rFonts w:ascii="仿宋_GB2312" w:hAnsi="仿宋_GB2312" w:cs="仿宋_GB2312" w:eastAsia="仿宋_GB2312"/>
                <w:sz w:val="24"/>
              </w:rPr>
              <w:t>；</w:t>
            </w:r>
          </w:p>
        </w:tc>
      </w:tr>
      <w:tr>
        <w:tc>
          <w:tcPr>
            <w:tcW w:type="dxa" w:w="2769"/>
          </w:tcPr>
          <w:p>
            <w:pPr>
              <w:pStyle w:val="null3"/>
            </w:pPr>
            <w:r>
              <w:rPr>
                <w:rFonts w:ascii="仿宋_GB2312" w:hAnsi="仿宋_GB2312" w:cs="仿宋_GB2312" w:eastAsia="仿宋_GB2312"/>
              </w:rPr>
              <w:t>25</w:t>
            </w:r>
          </w:p>
        </w:tc>
        <w:tc>
          <w:tcPr>
            <w:tcW w:type="dxa" w:w="2769"/>
          </w:tcPr>
          <w:p/>
        </w:tc>
        <w:tc>
          <w:tcPr>
            <w:tcW w:type="dxa" w:w="2769"/>
          </w:tcPr>
          <w:p>
            <w:pPr>
              <w:pStyle w:val="null3"/>
              <w:jc w:val="both"/>
            </w:pPr>
            <w:r>
              <w:rPr>
                <w:rFonts w:ascii="仿宋_GB2312" w:hAnsi="仿宋_GB2312" w:cs="仿宋_GB2312" w:eastAsia="仿宋_GB2312"/>
                <w:sz w:val="24"/>
              </w:rPr>
              <w:t>25.投标人需提供产品详细设计原理图及三维图并作出对应说明。</w:t>
            </w:r>
          </w:p>
        </w:tc>
      </w:tr>
      <w:tr>
        <w:tc>
          <w:tcPr>
            <w:tcW w:type="dxa" w:w="2769"/>
          </w:tcPr>
          <w:p>
            <w:pPr>
              <w:pStyle w:val="null3"/>
            </w:pPr>
            <w:r>
              <w:rPr>
                <w:rFonts w:ascii="仿宋_GB2312" w:hAnsi="仿宋_GB2312" w:cs="仿宋_GB2312" w:eastAsia="仿宋_GB2312"/>
              </w:rPr>
              <w:t>26</w:t>
            </w:r>
          </w:p>
        </w:tc>
        <w:tc>
          <w:tcPr>
            <w:tcW w:type="dxa" w:w="2769"/>
          </w:tcPr>
          <w:p/>
        </w:tc>
        <w:tc>
          <w:tcPr>
            <w:tcW w:type="dxa" w:w="2769"/>
          </w:tcPr>
          <w:p>
            <w:pPr>
              <w:pStyle w:val="null3"/>
              <w:jc w:val="both"/>
            </w:pPr>
            <w:r>
              <w:rPr>
                <w:rFonts w:ascii="仿宋_GB2312" w:hAnsi="仿宋_GB2312" w:cs="仿宋_GB2312" w:eastAsia="仿宋_GB2312"/>
              </w:rPr>
              <w:t xml:space="preserve"> </w:t>
            </w:r>
          </w:p>
          <w:p>
            <w:pPr>
              <w:pStyle w:val="null3"/>
              <w:jc w:val="center"/>
            </w:pPr>
            <w:r>
              <w:rPr>
                <w:rFonts w:ascii="仿宋_GB2312" w:hAnsi="仿宋_GB2312" w:cs="仿宋_GB2312" w:eastAsia="仿宋_GB2312"/>
                <w:sz w:val="30"/>
              </w:rPr>
              <w:t>系统配置要求</w:t>
            </w:r>
          </w:p>
          <w:p>
            <w:pPr>
              <w:pStyle w:val="null3"/>
              <w:ind w:left="105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主机反力机构</w:t>
            </w:r>
            <w:r>
              <w:rPr>
                <w:rFonts w:ascii="仿宋_GB2312" w:hAnsi="仿宋_GB2312" w:cs="仿宋_GB2312" w:eastAsia="仿宋_GB2312"/>
                <w:sz w:val="24"/>
                <w:color w:val="000000"/>
              </w:rPr>
              <w:t>1套</w:t>
            </w:r>
          </w:p>
          <w:p>
            <w:pPr>
              <w:pStyle w:val="null3"/>
              <w:ind w:left="105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运动作动器</w:t>
            </w:r>
            <w:r>
              <w:rPr>
                <w:rFonts w:ascii="仿宋_GB2312" w:hAnsi="仿宋_GB2312" w:cs="仿宋_GB2312" w:eastAsia="仿宋_GB2312"/>
                <w:sz w:val="24"/>
                <w:color w:val="000000"/>
              </w:rPr>
              <w:t>1套</w:t>
            </w:r>
          </w:p>
          <w:p>
            <w:pPr>
              <w:pStyle w:val="null3"/>
              <w:ind w:left="105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试验运动平台</w:t>
            </w:r>
            <w:r>
              <w:rPr>
                <w:rFonts w:ascii="仿宋_GB2312" w:hAnsi="仿宋_GB2312" w:cs="仿宋_GB2312" w:eastAsia="仿宋_GB2312"/>
                <w:sz w:val="24"/>
                <w:color w:val="000000"/>
              </w:rPr>
              <w:t>1套</w:t>
            </w:r>
          </w:p>
          <w:p>
            <w:pPr>
              <w:pStyle w:val="null3"/>
              <w:ind w:left="105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承压室</w:t>
            </w:r>
            <w:r>
              <w:rPr>
                <w:rFonts w:ascii="仿宋_GB2312" w:hAnsi="仿宋_GB2312" w:cs="仿宋_GB2312" w:eastAsia="仿宋_GB2312"/>
                <w:sz w:val="24"/>
                <w:color w:val="000000"/>
              </w:rPr>
              <w:t>1套</w:t>
            </w:r>
          </w:p>
          <w:p>
            <w:pPr>
              <w:pStyle w:val="null3"/>
              <w:ind w:left="1050"/>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控制增压模块</w:t>
            </w:r>
            <w:r>
              <w:rPr>
                <w:rFonts w:ascii="仿宋_GB2312" w:hAnsi="仿宋_GB2312" w:cs="仿宋_GB2312" w:eastAsia="仿宋_GB2312"/>
                <w:sz w:val="24"/>
                <w:color w:val="000000"/>
              </w:rPr>
              <w:t>1套</w:t>
            </w:r>
          </w:p>
          <w:p>
            <w:pPr>
              <w:pStyle w:val="null3"/>
              <w:ind w:left="1050"/>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力测量装置</w:t>
            </w:r>
            <w:r>
              <w:rPr>
                <w:rFonts w:ascii="仿宋_GB2312" w:hAnsi="仿宋_GB2312" w:cs="仿宋_GB2312" w:eastAsia="仿宋_GB2312"/>
                <w:sz w:val="24"/>
                <w:color w:val="000000"/>
              </w:rPr>
              <w:t>3套</w:t>
            </w:r>
          </w:p>
          <w:p>
            <w:pPr>
              <w:pStyle w:val="null3"/>
              <w:ind w:left="1050"/>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位移测量装置</w:t>
            </w:r>
            <w:r>
              <w:rPr>
                <w:rFonts w:ascii="仿宋_GB2312" w:hAnsi="仿宋_GB2312" w:cs="仿宋_GB2312" w:eastAsia="仿宋_GB2312"/>
                <w:sz w:val="24"/>
                <w:color w:val="000000"/>
              </w:rPr>
              <w:t>1套</w:t>
            </w:r>
          </w:p>
          <w:p>
            <w:pPr>
              <w:pStyle w:val="null3"/>
              <w:ind w:left="1050"/>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变形测量装置</w:t>
            </w:r>
            <w:r>
              <w:rPr>
                <w:rFonts w:ascii="仿宋_GB2312" w:hAnsi="仿宋_GB2312" w:cs="仿宋_GB2312" w:eastAsia="仿宋_GB2312"/>
                <w:sz w:val="24"/>
                <w:color w:val="000000"/>
              </w:rPr>
              <w:t>2套</w:t>
            </w:r>
          </w:p>
          <w:p>
            <w:pPr>
              <w:pStyle w:val="null3"/>
              <w:ind w:left="1050"/>
              <w:jc w:val="both"/>
            </w:pPr>
            <w:r>
              <w:rPr>
                <w:rFonts w:ascii="仿宋_GB2312" w:hAnsi="仿宋_GB2312" w:cs="仿宋_GB2312" w:eastAsia="仿宋_GB2312"/>
                <w:sz w:val="24"/>
                <w:color w:val="000000"/>
              </w:rPr>
              <w:t>9.</w:t>
            </w:r>
            <w:r>
              <w:rPr>
                <w:rFonts w:ascii="仿宋_GB2312" w:hAnsi="仿宋_GB2312" w:cs="仿宋_GB2312" w:eastAsia="仿宋_GB2312"/>
                <w:sz w:val="24"/>
                <w:color w:val="000000"/>
              </w:rPr>
              <w:t>承压水注入模块</w:t>
            </w:r>
            <w:r>
              <w:rPr>
                <w:rFonts w:ascii="仿宋_GB2312" w:hAnsi="仿宋_GB2312" w:cs="仿宋_GB2312" w:eastAsia="仿宋_GB2312"/>
                <w:sz w:val="24"/>
                <w:color w:val="000000"/>
              </w:rPr>
              <w:t>1套</w:t>
            </w:r>
          </w:p>
          <w:p>
            <w:pPr>
              <w:pStyle w:val="null3"/>
              <w:ind w:left="1050"/>
              <w:jc w:val="both"/>
            </w:pPr>
            <w:r>
              <w:rPr>
                <w:rFonts w:ascii="仿宋_GB2312" w:hAnsi="仿宋_GB2312" w:cs="仿宋_GB2312" w:eastAsia="仿宋_GB2312"/>
                <w:sz w:val="24"/>
                <w:color w:val="000000"/>
              </w:rPr>
              <w:t>10.</w:t>
            </w:r>
            <w:r>
              <w:rPr>
                <w:rFonts w:ascii="仿宋_GB2312" w:hAnsi="仿宋_GB2312" w:cs="仿宋_GB2312" w:eastAsia="仿宋_GB2312"/>
                <w:sz w:val="24"/>
                <w:color w:val="000000"/>
              </w:rPr>
              <w:t>温控装置</w:t>
            </w:r>
            <w:r>
              <w:rPr>
                <w:rFonts w:ascii="仿宋_GB2312" w:hAnsi="仿宋_GB2312" w:cs="仿宋_GB2312" w:eastAsia="仿宋_GB2312"/>
                <w:sz w:val="24"/>
                <w:color w:val="000000"/>
              </w:rPr>
              <w:t>1套</w:t>
            </w:r>
          </w:p>
          <w:p>
            <w:pPr>
              <w:pStyle w:val="null3"/>
              <w:ind w:left="1050"/>
              <w:jc w:val="both"/>
            </w:pPr>
            <w:r>
              <w:rPr>
                <w:rFonts w:ascii="仿宋_GB2312" w:hAnsi="仿宋_GB2312" w:cs="仿宋_GB2312" w:eastAsia="仿宋_GB2312"/>
                <w:sz w:val="24"/>
                <w:color w:val="000000"/>
              </w:rPr>
              <w:t>11.</w:t>
            </w:r>
            <w:r>
              <w:rPr>
                <w:rFonts w:ascii="仿宋_GB2312" w:hAnsi="仿宋_GB2312" w:cs="仿宋_GB2312" w:eastAsia="仿宋_GB2312"/>
                <w:sz w:val="24"/>
                <w:color w:val="000000"/>
              </w:rPr>
              <w:t>保温装置</w:t>
            </w:r>
            <w:r>
              <w:rPr>
                <w:rFonts w:ascii="仿宋_GB2312" w:hAnsi="仿宋_GB2312" w:cs="仿宋_GB2312" w:eastAsia="仿宋_GB2312"/>
                <w:sz w:val="24"/>
                <w:color w:val="000000"/>
              </w:rPr>
              <w:t>1套</w:t>
            </w:r>
          </w:p>
          <w:p>
            <w:pPr>
              <w:pStyle w:val="null3"/>
              <w:ind w:left="1050"/>
              <w:jc w:val="both"/>
            </w:pPr>
            <w:r>
              <w:rPr>
                <w:rFonts w:ascii="仿宋_GB2312" w:hAnsi="仿宋_GB2312" w:cs="仿宋_GB2312" w:eastAsia="仿宋_GB2312"/>
                <w:sz w:val="24"/>
                <w:color w:val="000000"/>
              </w:rPr>
              <w:t>12.</w:t>
            </w:r>
            <w:r>
              <w:rPr>
                <w:rFonts w:ascii="仿宋_GB2312" w:hAnsi="仿宋_GB2312" w:cs="仿宋_GB2312" w:eastAsia="仿宋_GB2312"/>
                <w:sz w:val="24"/>
                <w:color w:val="000000"/>
              </w:rPr>
              <w:t>温度测量装置</w:t>
            </w:r>
            <w:r>
              <w:rPr>
                <w:rFonts w:ascii="仿宋_GB2312" w:hAnsi="仿宋_GB2312" w:cs="仿宋_GB2312" w:eastAsia="仿宋_GB2312"/>
                <w:sz w:val="24"/>
                <w:color w:val="000000"/>
              </w:rPr>
              <w:t>1套</w:t>
            </w:r>
          </w:p>
          <w:p>
            <w:pPr>
              <w:pStyle w:val="null3"/>
              <w:ind w:left="1050"/>
              <w:jc w:val="both"/>
            </w:pPr>
            <w:r>
              <w:rPr>
                <w:rFonts w:ascii="仿宋_GB2312" w:hAnsi="仿宋_GB2312" w:cs="仿宋_GB2312" w:eastAsia="仿宋_GB2312"/>
                <w:sz w:val="24"/>
                <w:color w:val="000000"/>
              </w:rPr>
              <w:t>13.</w:t>
            </w:r>
            <w:r>
              <w:rPr>
                <w:rFonts w:ascii="仿宋_GB2312" w:hAnsi="仿宋_GB2312" w:cs="仿宋_GB2312" w:eastAsia="仿宋_GB2312"/>
                <w:sz w:val="24"/>
                <w:color w:val="000000"/>
              </w:rPr>
              <w:t>试验台液压系统</w:t>
            </w:r>
            <w:r>
              <w:rPr>
                <w:rFonts w:ascii="仿宋_GB2312" w:hAnsi="仿宋_GB2312" w:cs="仿宋_GB2312" w:eastAsia="仿宋_GB2312"/>
                <w:sz w:val="24"/>
                <w:color w:val="000000"/>
              </w:rPr>
              <w:t>1台</w:t>
            </w:r>
          </w:p>
          <w:p>
            <w:pPr>
              <w:pStyle w:val="null3"/>
              <w:ind w:left="1050"/>
              <w:jc w:val="both"/>
            </w:pPr>
            <w:r>
              <w:rPr>
                <w:rFonts w:ascii="仿宋_GB2312" w:hAnsi="仿宋_GB2312" w:cs="仿宋_GB2312" w:eastAsia="仿宋_GB2312"/>
                <w:sz w:val="24"/>
                <w:color w:val="000000"/>
              </w:rPr>
              <w:t>14.</w:t>
            </w:r>
            <w:r>
              <w:rPr>
                <w:rFonts w:ascii="仿宋_GB2312" w:hAnsi="仿宋_GB2312" w:cs="仿宋_GB2312" w:eastAsia="仿宋_GB2312"/>
                <w:sz w:val="24"/>
                <w:color w:val="000000"/>
              </w:rPr>
              <w:t>高速高精度伺服控制器</w:t>
            </w:r>
            <w:r>
              <w:rPr>
                <w:rFonts w:ascii="仿宋_GB2312" w:hAnsi="仿宋_GB2312" w:cs="仿宋_GB2312" w:eastAsia="仿宋_GB2312"/>
                <w:sz w:val="24"/>
                <w:color w:val="000000"/>
              </w:rPr>
              <w:t>4套</w:t>
            </w:r>
          </w:p>
          <w:p>
            <w:pPr>
              <w:pStyle w:val="null3"/>
              <w:ind w:left="1050"/>
              <w:jc w:val="both"/>
            </w:pPr>
            <w:r>
              <w:rPr>
                <w:rFonts w:ascii="仿宋_GB2312" w:hAnsi="仿宋_GB2312" w:cs="仿宋_GB2312" w:eastAsia="仿宋_GB2312"/>
                <w:sz w:val="24"/>
                <w:color w:val="000000"/>
              </w:rPr>
              <w:t>15.</w:t>
            </w:r>
            <w:r>
              <w:rPr>
                <w:rFonts w:ascii="仿宋_GB2312" w:hAnsi="仿宋_GB2312" w:cs="仿宋_GB2312" w:eastAsia="仿宋_GB2312"/>
                <w:sz w:val="24"/>
                <w:color w:val="000000"/>
              </w:rPr>
              <w:t>工业控制计算机</w:t>
            </w:r>
            <w:r>
              <w:rPr>
                <w:rFonts w:ascii="仿宋_GB2312" w:hAnsi="仿宋_GB2312" w:cs="仿宋_GB2312" w:eastAsia="仿宋_GB2312"/>
                <w:sz w:val="24"/>
                <w:color w:val="000000"/>
              </w:rPr>
              <w:t>1台</w:t>
            </w:r>
          </w:p>
          <w:p>
            <w:pPr>
              <w:pStyle w:val="null3"/>
              <w:ind w:left="1050"/>
              <w:jc w:val="both"/>
            </w:pPr>
            <w:r>
              <w:rPr>
                <w:rFonts w:ascii="仿宋_GB2312" w:hAnsi="仿宋_GB2312" w:cs="仿宋_GB2312" w:eastAsia="仿宋_GB2312"/>
                <w:sz w:val="24"/>
                <w:color w:val="000000"/>
              </w:rPr>
              <w:t>16.</w:t>
            </w:r>
            <w:r>
              <w:rPr>
                <w:rFonts w:ascii="仿宋_GB2312" w:hAnsi="仿宋_GB2312" w:cs="仿宋_GB2312" w:eastAsia="仿宋_GB2312"/>
                <w:sz w:val="24"/>
                <w:color w:val="000000"/>
              </w:rPr>
              <w:t>控制软件</w:t>
            </w:r>
            <w:r>
              <w:rPr>
                <w:rFonts w:ascii="仿宋_GB2312" w:hAnsi="仿宋_GB2312" w:cs="仿宋_GB2312" w:eastAsia="仿宋_GB2312"/>
                <w:sz w:val="24"/>
                <w:color w:val="000000"/>
              </w:rPr>
              <w:t>1套</w:t>
            </w:r>
          </w:p>
          <w:p>
            <w:pPr>
              <w:pStyle w:val="null3"/>
              <w:ind w:left="1050"/>
              <w:jc w:val="both"/>
            </w:pPr>
            <w:r>
              <w:rPr>
                <w:rFonts w:ascii="仿宋_GB2312" w:hAnsi="仿宋_GB2312" w:cs="仿宋_GB2312" w:eastAsia="仿宋_GB2312"/>
                <w:sz w:val="24"/>
                <w:color w:val="000000"/>
              </w:rPr>
              <w:t>17.</w:t>
            </w:r>
            <w:r>
              <w:rPr>
                <w:rFonts w:ascii="仿宋_GB2312" w:hAnsi="仿宋_GB2312" w:cs="仿宋_GB2312" w:eastAsia="仿宋_GB2312"/>
                <w:sz w:val="24"/>
                <w:color w:val="000000"/>
              </w:rPr>
              <w:t>相关紧固件</w:t>
            </w:r>
            <w:r>
              <w:rPr>
                <w:rFonts w:ascii="仿宋_GB2312" w:hAnsi="仿宋_GB2312" w:cs="仿宋_GB2312" w:eastAsia="仿宋_GB2312"/>
                <w:sz w:val="24"/>
                <w:color w:val="000000"/>
              </w:rPr>
              <w:t>1批</w:t>
            </w:r>
          </w:p>
          <w:p>
            <w:pPr>
              <w:pStyle w:val="null3"/>
              <w:ind w:left="1050"/>
              <w:jc w:val="both"/>
            </w:pPr>
            <w:r>
              <w:rPr>
                <w:rFonts w:ascii="仿宋_GB2312" w:hAnsi="仿宋_GB2312" w:cs="仿宋_GB2312" w:eastAsia="仿宋_GB2312"/>
                <w:sz w:val="24"/>
                <w:color w:val="000000"/>
              </w:rPr>
              <w:t>18.</w:t>
            </w:r>
            <w:r>
              <w:rPr>
                <w:rFonts w:ascii="仿宋_GB2312" w:hAnsi="仿宋_GB2312" w:cs="仿宋_GB2312" w:eastAsia="仿宋_GB2312"/>
                <w:sz w:val="24"/>
                <w:color w:val="000000"/>
              </w:rPr>
              <w:t>技术文件</w:t>
            </w:r>
            <w:r>
              <w:rPr>
                <w:rFonts w:ascii="仿宋_GB2312" w:hAnsi="仿宋_GB2312" w:cs="仿宋_GB2312" w:eastAsia="仿宋_GB2312"/>
                <w:sz w:val="24"/>
                <w:color w:val="000000"/>
              </w:rPr>
              <w:t>1套</w:t>
            </w:r>
          </w:p>
          <w:p>
            <w:pPr>
              <w:pStyle w:val="null3"/>
              <w:ind w:left="1050"/>
              <w:jc w:val="both"/>
            </w:pPr>
            <w:r>
              <w:rPr>
                <w:rFonts w:ascii="仿宋_GB2312" w:hAnsi="仿宋_GB2312" w:cs="仿宋_GB2312" w:eastAsia="仿宋_GB2312"/>
                <w:sz w:val="24"/>
                <w:color w:val="000000"/>
              </w:rPr>
              <w:t>19.</w:t>
            </w:r>
            <w:r>
              <w:rPr>
                <w:rFonts w:ascii="仿宋_GB2312" w:hAnsi="仿宋_GB2312" w:cs="仿宋_GB2312" w:eastAsia="仿宋_GB2312"/>
                <w:sz w:val="24"/>
                <w:color w:val="000000"/>
              </w:rPr>
              <w:t>专用工具</w:t>
            </w:r>
            <w:r>
              <w:rPr>
                <w:rFonts w:ascii="仿宋_GB2312" w:hAnsi="仿宋_GB2312" w:cs="仿宋_GB2312" w:eastAsia="仿宋_GB2312"/>
                <w:sz w:val="24"/>
                <w:color w:val="000000"/>
              </w:rPr>
              <w:t>1套</w:t>
            </w:r>
          </w:p>
          <w:p>
            <w:pPr>
              <w:pStyle w:val="null3"/>
              <w:ind w:left="1050"/>
              <w:jc w:val="both"/>
            </w:pPr>
            <w:r>
              <w:rPr>
                <w:rFonts w:ascii="仿宋_GB2312" w:hAnsi="仿宋_GB2312" w:cs="仿宋_GB2312" w:eastAsia="仿宋_GB2312"/>
                <w:sz w:val="24"/>
                <w:color w:val="000000"/>
              </w:rPr>
              <w:t>20.</w:t>
            </w:r>
            <w:r>
              <w:rPr>
                <w:rFonts w:ascii="仿宋_GB2312" w:hAnsi="仿宋_GB2312" w:cs="仿宋_GB2312" w:eastAsia="仿宋_GB2312"/>
                <w:sz w:val="24"/>
                <w:color w:val="000000"/>
              </w:rPr>
              <w:t>液压油</w:t>
            </w:r>
            <w:r>
              <w:rPr>
                <w:rFonts w:ascii="仿宋_GB2312" w:hAnsi="仿宋_GB2312" w:cs="仿宋_GB2312" w:eastAsia="仿宋_GB2312"/>
                <w:sz w:val="24"/>
                <w:color w:val="000000"/>
              </w:rPr>
              <w:t>1台</w:t>
            </w:r>
          </w:p>
          <w:p>
            <w:pPr>
              <w:pStyle w:val="null3"/>
              <w:ind w:firstLine="720"/>
              <w:jc w:val="both"/>
            </w:pPr>
            <w:r>
              <w:rPr>
                <w:rFonts w:ascii="仿宋_GB2312" w:hAnsi="仿宋_GB2312" w:cs="仿宋_GB2312" w:eastAsia="仿宋_GB2312"/>
                <w:sz w:val="24"/>
                <w:color w:val="000000"/>
              </w:rPr>
              <w:t>21.</w:t>
            </w:r>
            <w:r>
              <w:rPr>
                <w:rFonts w:ascii="仿宋_GB2312" w:hAnsi="仿宋_GB2312" w:cs="仿宋_GB2312" w:eastAsia="仿宋_GB2312"/>
                <w:sz w:val="24"/>
                <w:color w:val="000000"/>
              </w:rPr>
              <w:t>密封件</w:t>
            </w:r>
            <w:r>
              <w:rPr>
                <w:rFonts w:ascii="仿宋_GB2312" w:hAnsi="仿宋_GB2312" w:cs="仿宋_GB2312" w:eastAsia="仿宋_GB2312"/>
                <w:sz w:val="24"/>
                <w:color w:val="000000"/>
              </w:rPr>
              <w:t>1套</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合同签订之日起8个月</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西安科技大学临潼校区骊山校园</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合同签订后采购人支付40%合同金额的预付款（供应商在付款前必须开具全额增值税发票给采购人）</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国内产品安装调试经学校验收合格后采购人一次性支付60%合同金额的余款（供应商在付款前必须开具全额增值税发票给采购人）</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人负责搬运，采购人提供必要的工作条件（水电等）。（2）采购人对投标人所交货物依照国家有关标准和双方确认的标准进行现场验收。质量达到要求的，验收通过；验收不合格的，限期退换。（3）如因货物的质量问题发生争议，由采购人属地质量监督部门进行质量鉴定；货物符合质量标准的，鉴定费由采购人承担；货物不符合质量标准的，鉴定费由投标人承担。</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（1）售后服务响应时间（质保期内）：即时响应（包括电话响应）；电话响应无法解决 24 小时内到达现场。修复时间 48 小时内解决；如在 48 小时内无法修复，则提供部件冗余服务或采取应急措施，提供相同产品或不低于故障产品规格档次的备用产品供采购人使用，以确保货物的正常使用。（2）项目质保期：1年。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 1.乙方逾期服务，每天应按合同总价的千分之一向甲方支付违约金。如乙方逾期三十天仍未服务的， 甲方有权终止合同，乙方须按合同总价的百分之十计算，向甲方支付违约赔偿金，并全额退还甲方已付给乙方的款项。 2.甲方无正当理由拒绝服务，应向乙方支付合同总价款10%的违约金。 3.乙方所交的服务质量不符合合同约定、国家标准，所 供设备达不到约定技术要求的，乙方必须无条件退回全部款项，并向甲方支付合同总价款10%的赔偿金。 （2）争议解决方式： 本合同在履行过程中，如发生争议，双方友好协商解决，如协商不成，双方同意向签约地法院起诉解决。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货物用途说明：可进行岩石、土体、混凝土在水-热-力多场全耦合或者局部耦合条件下的单轴、三轴试验。2、为顺利推进政府采购电子化交易平台应用工作，供应商需要在线提交所有通过电子化交易平台实施的政府采购项目的响应文件，同时，线下提交纸质响应文件正本壹份、副本贰份。3、纸质响应文件正、副本分别胶装，标明供应商名称密封递交，递交截止时间同在线递交电子响应文件截止时间一致，递交地址：陕西省西安市曲江新区雁翔路3269号旺座曲江D座30层（纸质响应文件可邮寄，邮件发出时间应在递交电子投标文件截止时间之前，邮寄地址：陕西省西安市曲江新区雁翔路 3269号旺座曲江D座30层，联系人：王工，联系电话：15091632950）。4、若电子响应文件与纸质响应文件不一致的，以电子响应文件为准。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法人提供经审计的2023年度或2024年度的财务报告（成立时间至提交投标文件截止时间不足一年的可提供成立后任意时段的资产负债表）或投标文件递交截止时间前六个月内银行出具的资信证明；其他组织和自然人提供银行出具的资信证明或财务报表；}并进行电子签章。</w:t>
            </w:r>
          </w:p>
        </w:tc>
        <w:tc>
          <w:tcPr>
            <w:tcW w:type="dxa" w:w="1661"/>
          </w:tcPr>
          <w:p>
            <w:pPr>
              <w:pStyle w:val="null3"/>
            </w:pPr>
            <w:r>
              <w:rPr>
                <w:rFonts w:ascii="仿宋_GB2312" w:hAnsi="仿宋_GB2312" w:cs="仿宋_GB2312" w:eastAsia="仿宋_GB2312"/>
              </w:rPr>
              <w:t>投标人提交的相关资格证明材料.docx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具有独立承担民事责任能力的法人、其他组织或自然人，提供合法有效的统一社会信用代码营业执照（事业单位提供法人证书，自然人提供身份证）。</w:t>
            </w:r>
          </w:p>
        </w:tc>
        <w:tc>
          <w:tcPr>
            <w:tcW w:type="dxa" w:w="1661"/>
          </w:tcPr>
          <w:p>
            <w:pPr>
              <w:pStyle w:val="null3"/>
            </w:pPr>
            <w:r>
              <w:rPr>
                <w:rFonts w:ascii="仿宋_GB2312" w:hAnsi="仿宋_GB2312" w:cs="仿宋_GB2312" w:eastAsia="仿宋_GB2312"/>
              </w:rPr>
              <w:t>投标人提交的相关资格证明材料.docx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法人提供经审计的2023年度或2024年度的财务报告（成立时间至提交投标文件截止时间不足一年的可提供成立后任意时段的资产负债表）或投标文件递交截止时间前六个月内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投标人提交的相关资格证明材料.docx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法人提供投标文件递交截止时间前一年内至少一个月依法缴纳税收的相关凭据（时间以税款所属日期为准，凭据应有税务机关或代收机关的公章或业务专用章）；其他组织和自然人提供缴纳税收的凭据；依法免税的投标人应提供相关文件证明；</w:t>
            </w:r>
          </w:p>
        </w:tc>
        <w:tc>
          <w:tcPr>
            <w:tcW w:type="dxa" w:w="1661"/>
          </w:tcPr>
          <w:p>
            <w:pPr>
              <w:pStyle w:val="null3"/>
            </w:pPr>
            <w:r>
              <w:rPr>
                <w:rFonts w:ascii="仿宋_GB2312" w:hAnsi="仿宋_GB2312" w:cs="仿宋_GB2312" w:eastAsia="仿宋_GB2312"/>
              </w:rPr>
              <w:t>投标人提交的相关资格证明材料.docx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投标文件递交截止时间前一年内至少一个月已缴纳的社会保障资金的凭据（社会保障资金缴存单据或社保机构开具的社会保险参保缴费情况证明）；依法不需要缴纳社会保障资金的投标人应提供相关文件证明；</w:t>
            </w:r>
          </w:p>
        </w:tc>
        <w:tc>
          <w:tcPr>
            <w:tcW w:type="dxa" w:w="1661"/>
          </w:tcPr>
          <w:p>
            <w:pPr>
              <w:pStyle w:val="null3"/>
            </w:pPr>
            <w:r>
              <w:rPr>
                <w:rFonts w:ascii="仿宋_GB2312" w:hAnsi="仿宋_GB2312" w:cs="仿宋_GB2312" w:eastAsia="仿宋_GB2312"/>
              </w:rPr>
              <w:t>投标人提交的相关资格证明材料.docx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投标人提交的相关资格证明材料.docx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投标人提交的相关资格证明材料.docx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法定代表人授权书、法定代表人身份证明合格</w:t>
            </w:r>
          </w:p>
        </w:tc>
        <w:tc>
          <w:tcPr>
            <w:tcW w:type="dxa" w:w="3322"/>
          </w:tcPr>
          <w:p>
            <w:pPr>
              <w:pStyle w:val="null3"/>
            </w:pPr>
            <w:r>
              <w:rPr>
                <w:rFonts w:ascii="仿宋_GB2312" w:hAnsi="仿宋_GB2312" w:cs="仿宋_GB2312" w:eastAsia="仿宋_GB2312"/>
              </w:rPr>
              <w:t>提供合格的法定代表人授权书（附法定代表人、被授权人身份证复印件）或法定代表人身份证明（法定代表人直接参加的）。</w:t>
            </w:r>
          </w:p>
        </w:tc>
        <w:tc>
          <w:tcPr>
            <w:tcW w:type="dxa" w:w="1661"/>
          </w:tcPr>
          <w:p>
            <w:pPr>
              <w:pStyle w:val="null3"/>
            </w:pPr>
            <w:r>
              <w:rPr>
                <w:rFonts w:ascii="仿宋_GB2312" w:hAnsi="仿宋_GB2312" w:cs="仿宋_GB2312" w:eastAsia="仿宋_GB2312"/>
              </w:rPr>
              <w:t>投标人提交的相关资格证明材料.docx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信用承诺</w:t>
            </w:r>
          </w:p>
        </w:tc>
        <w:tc>
          <w:tcPr>
            <w:tcW w:type="dxa" w:w="3322"/>
          </w:tcPr>
          <w:p>
            <w:pPr>
              <w:pStyle w:val="null3"/>
            </w:pPr>
            <w:r>
              <w:rPr>
                <w:rFonts w:ascii="仿宋_GB2312" w:hAnsi="仿宋_GB2312" w:cs="仿宋_GB2312" w:eastAsia="仿宋_GB2312"/>
              </w:rPr>
              <w:t>提供未被“信用中国”网站（www.creditchina.gov.cn）列入失信被执行人或重大税收违法失信主体名单，未被财政部门在中国政府采购网（www.ccgp.gov.cn）政府采购严重违法失信行为记录名单中禁止参加政府采购活动的承诺。</w:t>
            </w:r>
          </w:p>
        </w:tc>
        <w:tc>
          <w:tcPr>
            <w:tcW w:type="dxa" w:w="1661"/>
          </w:tcPr>
          <w:p>
            <w:pPr>
              <w:pStyle w:val="null3"/>
            </w:pPr>
            <w:r>
              <w:rPr>
                <w:rFonts w:ascii="仿宋_GB2312" w:hAnsi="仿宋_GB2312" w:cs="仿宋_GB2312" w:eastAsia="仿宋_GB2312"/>
              </w:rPr>
              <w:t>投标人提交的相关资格证明材料.docx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投标人名称与营业执照一致</w:t>
            </w:r>
          </w:p>
        </w:tc>
        <w:tc>
          <w:tcPr>
            <w:tcW w:type="dxa" w:w="3322"/>
          </w:tcPr>
          <w:p>
            <w:pPr>
              <w:pStyle w:val="null3"/>
            </w:pPr>
            <w:r>
              <w:rPr>
                <w:rFonts w:ascii="仿宋_GB2312" w:hAnsi="仿宋_GB2312" w:cs="仿宋_GB2312" w:eastAsia="仿宋_GB2312"/>
              </w:rPr>
              <w:t>投标人名称与营业执照一致（合格）投标人名称与营业执照不一致（不合格）</w:t>
            </w:r>
          </w:p>
        </w:tc>
        <w:tc>
          <w:tcPr>
            <w:tcW w:type="dxa" w:w="1661"/>
          </w:tcPr>
          <w:p>
            <w:pPr>
              <w:pStyle w:val="null3"/>
            </w:pPr>
            <w:r>
              <w:rPr>
                <w:rFonts w:ascii="仿宋_GB2312" w:hAnsi="仿宋_GB2312" w:cs="仿宋_GB2312" w:eastAsia="仿宋_GB2312"/>
              </w:rPr>
              <w:t>投标人提交的相关资格证明材料.docx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投标文件按招标文件要求的数量、计量单位、报价货币及签字盖章</w:t>
            </w:r>
          </w:p>
        </w:tc>
        <w:tc>
          <w:tcPr>
            <w:tcW w:type="dxa" w:w="3322"/>
          </w:tcPr>
          <w:p>
            <w:pPr>
              <w:pStyle w:val="null3"/>
            </w:pPr>
            <w:r>
              <w:rPr>
                <w:rFonts w:ascii="仿宋_GB2312" w:hAnsi="仿宋_GB2312" w:cs="仿宋_GB2312" w:eastAsia="仿宋_GB2312"/>
              </w:rPr>
              <w:t>投标文件按招标文件要求的数量、计量单位、报价货币及签字盖章 投标文件按招标文件要求的计量单位、报价货币及签字盖章（合格）投标文件未按招标文件要求的计量单位、报价货币及签字盖章（不合格）</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投标文件的有效期达到招标文件要求</w:t>
            </w:r>
          </w:p>
        </w:tc>
        <w:tc>
          <w:tcPr>
            <w:tcW w:type="dxa" w:w="3322"/>
          </w:tcPr>
          <w:p>
            <w:pPr>
              <w:pStyle w:val="null3"/>
            </w:pPr>
            <w:r>
              <w:rPr>
                <w:rFonts w:ascii="仿宋_GB2312" w:hAnsi="仿宋_GB2312" w:cs="仿宋_GB2312" w:eastAsia="仿宋_GB2312"/>
              </w:rPr>
              <w:t>投标有效期达到招标文件要求（合格）投标有效期未达到招标文件要求（不合格）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响应内容符合实质性要求</w:t>
            </w:r>
          </w:p>
        </w:tc>
        <w:tc>
          <w:tcPr>
            <w:tcW w:type="dxa" w:w="3322"/>
          </w:tcPr>
          <w:p>
            <w:pPr>
              <w:pStyle w:val="null3"/>
            </w:pPr>
            <w:r>
              <w:rPr>
                <w:rFonts w:ascii="仿宋_GB2312" w:hAnsi="仿宋_GB2312" w:cs="仿宋_GB2312" w:eastAsia="仿宋_GB2312"/>
              </w:rPr>
              <w:t>商务响应满足第三章3.4商务要求、3.5其他要求（合格），任意一条不满足（不合格）</w:t>
            </w:r>
          </w:p>
        </w:tc>
        <w:tc>
          <w:tcPr>
            <w:tcW w:type="dxa" w:w="1661"/>
          </w:tcPr>
          <w:p>
            <w:pPr>
              <w:pStyle w:val="null3"/>
            </w:pPr>
            <w:r>
              <w:rPr>
                <w:rFonts w:ascii="仿宋_GB2312" w:hAnsi="仿宋_GB2312" w:cs="仿宋_GB2312" w:eastAsia="仿宋_GB2312"/>
              </w:rPr>
              <w:t>产品技术参数表 商务应答表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符合法律、法规和招标文件中规定的其他实质性要求</w:t>
            </w:r>
          </w:p>
        </w:tc>
        <w:tc>
          <w:tcPr>
            <w:tcW w:type="dxa" w:w="3322"/>
          </w:tcPr>
          <w:p>
            <w:pPr>
              <w:pStyle w:val="null3"/>
            </w:pPr>
            <w:r>
              <w:rPr>
                <w:rFonts w:ascii="仿宋_GB2312" w:hAnsi="仿宋_GB2312" w:cs="仿宋_GB2312" w:eastAsia="仿宋_GB2312"/>
              </w:rPr>
              <w:t>符合法律、法规和招标文件中规定的其他实质性要求（合格）不符合法律、法规和招标文件中规定的其他实质性要求（不合格）</w:t>
            </w:r>
          </w:p>
        </w:tc>
        <w:tc>
          <w:tcPr>
            <w:tcW w:type="dxa" w:w="1661"/>
          </w:tcPr>
          <w:p>
            <w:pPr>
              <w:pStyle w:val="null3"/>
            </w:pPr>
            <w:r>
              <w:rPr>
                <w:rFonts w:ascii="仿宋_GB2312" w:hAnsi="仿宋_GB2312" w:cs="仿宋_GB2312" w:eastAsia="仿宋_GB2312"/>
              </w:rPr>
              <w:t>投标函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基本分：所投产品的技术参数完全符合、响应招标文件要求，没有负偏离计30分，每有一项负偏离扣2分，扣完为止。 加分项：技术参数中参数性能优于招标文件要求，具有实际使用价值的提升，经评标委员会一致认定每有一项加1分最多加6分。备注：所有优于参数须提供佐证材料（佐证材料不限于产品彩页、检测报告、官网功能截图等），否则不予加分。</w:t>
            </w:r>
          </w:p>
        </w:tc>
        <w:tc>
          <w:tcPr>
            <w:tcW w:type="dxa" w:w="831"/>
          </w:tcPr>
          <w:p>
            <w:pPr>
              <w:pStyle w:val="null3"/>
              <w:jc w:val="right"/>
            </w:pPr>
            <w:r>
              <w:rPr>
                <w:rFonts w:ascii="仿宋_GB2312" w:hAnsi="仿宋_GB2312" w:cs="仿宋_GB2312" w:eastAsia="仿宋_GB2312"/>
              </w:rPr>
              <w:t>36.0000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投标人需针对本项目提供完整的项目实施方案。内容包含：①供货组织安排、物力调配及保障措施②安装调试验收方案③项目实施进度计划 二、评审标准 1、完整性：方案须全面，对评审内容中的各项要求描述详细； 2、可实施性：切合本项目实际情况，实施步骤清晰、合理； 3、针对性：方案能够紧扣项目实际情况，内容科学合理。 三、赋分依据 ①供货组织安排、物力调配及保障措施：每完全满足一个评审标准得1分，基本满足一个评审标准得0.5分，未提供不得分，满分3分； ②安装调试验收方案：每完全满足一个评审标准得1分，基本满足一个评审标准得0.5分，未提供不得分，满分3分；③项目实施进度计划：每完全满足一个评审标准得1分，基本满足一个评审标准得0.5分，未提供不得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质量保证方案1</w:t>
            </w:r>
          </w:p>
        </w:tc>
        <w:tc>
          <w:tcPr>
            <w:tcW w:type="dxa" w:w="2492"/>
          </w:tcPr>
          <w:p>
            <w:pPr>
              <w:pStyle w:val="null3"/>
            </w:pPr>
            <w:r>
              <w:rPr>
                <w:rFonts w:ascii="仿宋_GB2312" w:hAnsi="仿宋_GB2312" w:cs="仿宋_GB2312" w:eastAsia="仿宋_GB2312"/>
              </w:rPr>
              <w:t>一、评审内容 根据项目实际需求，提供质量保证方案。内容包含：①产品性能、使用寿命及效果②质量保证措施。 二、评审标准 1、完整性：方案须全面，对评审内容中的各项要求有详细描述； 2、可实施性：切合本项目实际情况，实施步骤清晰、合理； 3、针对性：方案能够紧扣项目实际情况，内容科学合理。 三、赋分依据 ①产品性能、使用寿命及效果：每完全满足一个评审标准得1分，基本满足一个评审标准得0.5分，未提供不得分，满分3分； ②质量保证措施：每完全满足一个评审标准得1分，基本满足一个评审标准得0.5分，未提供不得分，满分3分。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质量保证方案2</w:t>
            </w:r>
          </w:p>
        </w:tc>
        <w:tc>
          <w:tcPr>
            <w:tcW w:type="dxa" w:w="2492"/>
          </w:tcPr>
          <w:p>
            <w:pPr>
              <w:pStyle w:val="null3"/>
            </w:pPr>
            <w:r>
              <w:rPr>
                <w:rFonts w:ascii="仿宋_GB2312" w:hAnsi="仿宋_GB2312" w:cs="仿宋_GB2312" w:eastAsia="仿宋_GB2312"/>
              </w:rPr>
              <w:t>在满足招标文件要求质保期的基础上，投标人可根据自身情况延长质保年限，根据各投标人响应的延长质保年限进行综合评定，以延长质保年限最长者为基准，计2分，其他投标人的延长质保年限分统一按照下列公式计算：(延长质保期/基准)x2=响应得分。仅满足招标文件要求的质保期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培训计划</w:t>
            </w:r>
          </w:p>
        </w:tc>
        <w:tc>
          <w:tcPr>
            <w:tcW w:type="dxa" w:w="2492"/>
          </w:tcPr>
          <w:p>
            <w:pPr>
              <w:pStyle w:val="null3"/>
            </w:pPr>
            <w:r>
              <w:rPr>
                <w:rFonts w:ascii="仿宋_GB2312" w:hAnsi="仿宋_GB2312" w:cs="仿宋_GB2312" w:eastAsia="仿宋_GB2312"/>
              </w:rPr>
              <w:t>一、评审内容 针对培训要求提供培训计划，为采购人培训操作维护人员，以保障使用过程中能熟练操作、维护和正常使用，培训方案内容包含①培训内容及方式②培训计划安排。 二、评审标准 1、完整性：方案须全面，对评审内容中的各项要求有详细描述； 2、可实施性：切合本项目实际情况，实施步骤清晰、合理； 3、针对性：方案能够紧扣项目实际情况，内容科学合理。 三、赋分标准 ①培训内容及方式：每完全满足一个评审标准得1分，基本满足一个评审标准得0.5分，未提供不得分，满分3分； ②培训计划安排：每完全满足一个评审标准得1分，基本满足一个评审标准得0.5分，未提供不得分，满分3分。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售后服务方案及应急处理方案</w:t>
            </w:r>
          </w:p>
        </w:tc>
        <w:tc>
          <w:tcPr>
            <w:tcW w:type="dxa" w:w="2492"/>
          </w:tcPr>
          <w:p>
            <w:pPr>
              <w:pStyle w:val="null3"/>
            </w:pPr>
            <w:r>
              <w:rPr>
                <w:rFonts w:ascii="仿宋_GB2312" w:hAnsi="仿宋_GB2312" w:cs="仿宋_GB2312" w:eastAsia="仿宋_GB2312"/>
              </w:rPr>
              <w:t>一、评审内容 根据项目实际需求提供售后服务方案。内容包含：①售后服务范围及保障措施②应急处理方案。 二、评审标准 1.完整性：方案须全面，对评审内容中的各项要求有详细描述； 2.可实施性：切合本项目实际情况，提出步骤清晰、合理的方案； 3.针对性：方案能够紧扣项目实际情况，内容科学合理。 三、赋分依据 ①售后服务范围及保障措施：每完全满足一个评审标准得1分，基本满足一个评审标准得0.5分，未提供不得分，满分3分； ②应急处理方案:每完全满足一个评审标准得1分，基本满足一个评审标准得0.5分，未提供不得分，满分3分。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投标人提供自2022年5月1日至今同类项目供货业绩（以签订合同时间为准），每提供一份合格业绩证明得1分，最高得5分。 备注：须提供完整合同，并加盖投标人公章，否则不得分。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格分统一采用低价优先法计算，即满足招标文件要求且价格最低的投标报价为评标基准价，其价格分为满分。其他投标人的价格分统一按照下列公式计算：价格分=（评标基准价/投标报价）X报价分值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详见附件：投标人提交的相关资格证明材料.docx</w:t>
      </w:r>
    </w:p>
    <w:p>
      <w:pPr>
        <w:pStyle w:val="null3"/>
        <w:ind w:firstLine="960"/>
      </w:pPr>
      <w:r>
        <w:rPr>
          <w:rFonts w:ascii="仿宋_GB2312" w:hAnsi="仿宋_GB2312" w:cs="仿宋_GB2312" w:eastAsia="仿宋_GB2312"/>
        </w:rPr>
        <w:t>详见附件：投标方案说明书.docx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