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CC5B6">
      <w:pPr>
        <w:kinsoku w:val="0"/>
        <w:spacing w:line="360" w:lineRule="auto"/>
        <w:ind w:firstLine="480" w:firstLineChars="200"/>
        <w:jc w:val="center"/>
        <w:rPr>
          <w:rFonts w:hint="eastAsia" w:ascii="宋体" w:hAnsi="宋体" w:cs="宋体"/>
          <w:sz w:val="24"/>
        </w:rPr>
      </w:pPr>
      <w:r>
        <w:rPr>
          <w:rFonts w:hint="eastAsia" w:ascii="宋体" w:hAnsi="宋体" w:cs="宋体"/>
          <w:sz w:val="24"/>
        </w:rPr>
        <w:t>（合同仅供参考，以实际签订为准）</w:t>
      </w:r>
    </w:p>
    <w:p w14:paraId="639CC6D2">
      <w:pPr>
        <w:kinsoku w:val="0"/>
        <w:spacing w:line="360" w:lineRule="auto"/>
        <w:ind w:firstLine="480" w:firstLineChars="200"/>
        <w:jc w:val="both"/>
        <w:rPr>
          <w:rFonts w:hint="eastAsia" w:ascii="宋体" w:hAnsi="宋体" w:cs="宋体"/>
          <w:sz w:val="24"/>
        </w:rPr>
      </w:pPr>
    </w:p>
    <w:p w14:paraId="555BDEBB">
      <w:pPr>
        <w:kinsoku w:val="0"/>
        <w:spacing w:line="360" w:lineRule="auto"/>
        <w:ind w:firstLine="480" w:firstLineChars="200"/>
        <w:rPr>
          <w:rFonts w:hint="eastAsia" w:ascii="宋体" w:hAnsi="宋体" w:cs="宋体"/>
          <w:sz w:val="24"/>
          <w:szCs w:val="24"/>
        </w:rPr>
      </w:pPr>
      <w:r>
        <w:rPr>
          <w:rFonts w:hint="eastAsia" w:ascii="宋体" w:hAnsi="宋体" w:cs="宋体"/>
          <w:sz w:val="24"/>
          <w:szCs w:val="24"/>
        </w:rPr>
        <w:t>甲方：</w:t>
      </w:r>
      <w:r>
        <w:rPr>
          <w:rFonts w:hint="eastAsia" w:ascii="宋体" w:hAnsi="宋体" w:cs="宋体"/>
          <w:sz w:val="24"/>
          <w:szCs w:val="24"/>
          <w:u w:val="single"/>
        </w:rPr>
        <w:t xml:space="preserve"> 陕西财经职业技术学院  </w:t>
      </w:r>
    </w:p>
    <w:p w14:paraId="77330822">
      <w:pPr>
        <w:kinsoku w:val="0"/>
        <w:spacing w:line="360" w:lineRule="auto"/>
        <w:ind w:firstLine="480" w:firstLineChars="200"/>
        <w:rPr>
          <w:rFonts w:hint="eastAsia" w:ascii="宋体" w:hAnsi="宋体" w:cs="宋体"/>
          <w:sz w:val="24"/>
          <w:szCs w:val="24"/>
        </w:rPr>
      </w:pPr>
      <w:r>
        <w:rPr>
          <w:rFonts w:hint="eastAsia" w:ascii="宋体" w:hAnsi="宋体" w:cs="宋体"/>
          <w:sz w:val="24"/>
          <w:szCs w:val="24"/>
        </w:rPr>
        <w:t>乙方：</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388F6A87">
      <w:pPr>
        <w:kinsoku w:val="0"/>
        <w:spacing w:line="360" w:lineRule="auto"/>
        <w:ind w:firstLine="480" w:firstLineChars="200"/>
        <w:rPr>
          <w:rFonts w:hint="eastAsia" w:ascii="宋体" w:hAnsi="宋体" w:cs="宋体"/>
          <w:sz w:val="24"/>
          <w:szCs w:val="24"/>
        </w:rPr>
      </w:pPr>
      <w:r>
        <w:rPr>
          <w:rFonts w:hint="eastAsia" w:ascii="宋体" w:hAnsi="宋体" w:cs="宋体"/>
          <w:sz w:val="24"/>
          <w:szCs w:val="24"/>
        </w:rPr>
        <w:t>根据《中华人民共和国政府采购法》、《中华人民共和国民法典》等法律法规，甲方通过</w:t>
      </w:r>
      <w:r>
        <w:rPr>
          <w:rFonts w:hint="eastAsia" w:ascii="宋体" w:hAnsi="宋体" w:cs="宋体"/>
          <w:sz w:val="24"/>
          <w:szCs w:val="24"/>
          <w:lang w:val="en-US" w:eastAsia="zh-CN"/>
        </w:rPr>
        <w:t>单一来源</w:t>
      </w:r>
      <w:r>
        <w:rPr>
          <w:rFonts w:hint="eastAsia" w:ascii="宋体" w:hAnsi="宋体" w:cs="宋体"/>
          <w:sz w:val="24"/>
          <w:szCs w:val="24"/>
        </w:rPr>
        <w:t>，选定乙方为成交单位。甲、乙双方在平等基础上协商一致，达成如下合同条款：</w:t>
      </w:r>
    </w:p>
    <w:p w14:paraId="4CB8800B">
      <w:pPr>
        <w:kinsoku w:val="0"/>
        <w:spacing w:line="360" w:lineRule="auto"/>
        <w:ind w:firstLine="480" w:firstLineChars="200"/>
        <w:rPr>
          <w:rFonts w:hint="eastAsia" w:ascii="宋体" w:hAnsi="宋体" w:cs="宋体"/>
          <w:sz w:val="24"/>
          <w:szCs w:val="24"/>
        </w:rPr>
      </w:pPr>
      <w:bookmarkStart w:id="0" w:name="_Toc2510"/>
      <w:r>
        <w:rPr>
          <w:rFonts w:hint="eastAsia" w:ascii="宋体" w:hAnsi="宋体" w:cs="宋体"/>
          <w:sz w:val="24"/>
          <w:szCs w:val="24"/>
        </w:rPr>
        <w:t>一、</w:t>
      </w:r>
      <w:r>
        <w:rPr>
          <w:rFonts w:hint="eastAsia" w:ascii="宋体" w:hAnsi="宋体" w:cs="宋体"/>
          <w:b/>
          <w:sz w:val="24"/>
          <w:szCs w:val="24"/>
        </w:rPr>
        <w:t>服务内容</w:t>
      </w:r>
      <w:bookmarkEnd w:id="0"/>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6"/>
        <w:gridCol w:w="7313"/>
      </w:tblGrid>
      <w:tr w14:paraId="083E7B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6"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6D18CBFD">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baseline"/>
              <w:rPr>
                <w:rStyle w:val="8"/>
                <w:rFonts w:ascii="宋体" w:hAnsi="宋体"/>
                <w:b/>
                <w:sz w:val="24"/>
              </w:rPr>
            </w:pPr>
            <w:bookmarkStart w:id="1" w:name="_Toc29543"/>
            <w:r>
              <w:rPr>
                <w:rStyle w:val="8"/>
                <w:rFonts w:ascii="宋体" w:hAnsi="宋体"/>
                <w:b/>
                <w:sz w:val="24"/>
              </w:rPr>
              <w:t>序号</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6FE68EA4">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baseline"/>
              <w:rPr>
                <w:rStyle w:val="8"/>
                <w:rFonts w:ascii="宋体" w:hAnsi="宋体"/>
                <w:b/>
                <w:sz w:val="24"/>
              </w:rPr>
            </w:pPr>
            <w:r>
              <w:rPr>
                <w:rStyle w:val="8"/>
                <w:rFonts w:ascii="宋体" w:hAnsi="宋体"/>
                <w:b/>
                <w:sz w:val="24"/>
              </w:rPr>
              <w:t>服务内容</w:t>
            </w:r>
          </w:p>
        </w:tc>
      </w:tr>
      <w:tr w14:paraId="599D0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6027ADD0">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baseline"/>
              <w:rPr>
                <w:rStyle w:val="8"/>
                <w:rFonts w:ascii="宋体" w:hAnsi="宋体"/>
                <w:color w:val="000000"/>
                <w:szCs w:val="21"/>
              </w:rPr>
            </w:pPr>
            <w:r>
              <w:rPr>
                <w:rStyle w:val="8"/>
                <w:rFonts w:ascii="宋体" w:hAnsi="宋体"/>
                <w:color w:val="000000"/>
                <w:szCs w:val="21"/>
              </w:rPr>
              <w:t>1</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4A400A8F">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center"/>
              <w:rPr>
                <w:rStyle w:val="8"/>
                <w:rFonts w:ascii="宋体" w:hAnsi="宋体"/>
                <w:color w:val="000000"/>
                <w:szCs w:val="21"/>
              </w:rPr>
            </w:pPr>
          </w:p>
        </w:tc>
      </w:tr>
      <w:tr w14:paraId="7F940B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1DE10F5D">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baseline"/>
              <w:rPr>
                <w:rStyle w:val="8"/>
                <w:rFonts w:ascii="宋体" w:hAnsi="宋体"/>
                <w:color w:val="000000"/>
                <w:szCs w:val="21"/>
              </w:rPr>
            </w:pPr>
            <w:r>
              <w:rPr>
                <w:rStyle w:val="8"/>
                <w:rFonts w:ascii="宋体" w:hAnsi="宋体"/>
                <w:color w:val="000000"/>
                <w:szCs w:val="21"/>
              </w:rPr>
              <w:t>2</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6A886862">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center"/>
              <w:rPr>
                <w:rStyle w:val="8"/>
                <w:rFonts w:ascii="宋体" w:hAnsi="宋体"/>
                <w:color w:val="000000"/>
                <w:szCs w:val="21"/>
              </w:rPr>
            </w:pPr>
          </w:p>
        </w:tc>
      </w:tr>
      <w:tr w14:paraId="0F36C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71A94146">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baseline"/>
              <w:rPr>
                <w:rStyle w:val="8"/>
                <w:rFonts w:ascii="宋体" w:hAnsi="宋体"/>
                <w:color w:val="000000"/>
                <w:szCs w:val="21"/>
              </w:rPr>
            </w:pPr>
            <w:r>
              <w:rPr>
                <w:rStyle w:val="8"/>
                <w:rFonts w:ascii="宋体" w:hAnsi="宋体"/>
                <w:color w:val="000000"/>
                <w:szCs w:val="21"/>
              </w:rPr>
              <w:t>3</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79898801">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center"/>
              <w:rPr>
                <w:rStyle w:val="8"/>
                <w:rFonts w:ascii="宋体" w:hAnsi="宋体"/>
                <w:color w:val="000000"/>
                <w:szCs w:val="21"/>
              </w:rPr>
            </w:pPr>
          </w:p>
        </w:tc>
      </w:tr>
      <w:tr w14:paraId="6EF21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045DD071">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baseline"/>
              <w:rPr>
                <w:rStyle w:val="8"/>
                <w:rFonts w:ascii="宋体" w:hAnsi="宋体"/>
                <w:color w:val="000000"/>
                <w:szCs w:val="21"/>
              </w:rPr>
            </w:pPr>
            <w:r>
              <w:rPr>
                <w:rStyle w:val="8"/>
                <w:rFonts w:ascii="宋体" w:hAnsi="宋体"/>
                <w:color w:val="000000"/>
                <w:szCs w:val="21"/>
              </w:rPr>
              <w:t>…</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53C80F6C">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center"/>
              <w:rPr>
                <w:rStyle w:val="8"/>
                <w:rFonts w:ascii="宋体" w:hAnsi="宋体"/>
                <w:color w:val="000000"/>
                <w:szCs w:val="21"/>
              </w:rPr>
            </w:pPr>
          </w:p>
        </w:tc>
      </w:tr>
    </w:tbl>
    <w:p w14:paraId="7194DACE">
      <w:pPr>
        <w:spacing w:line="360" w:lineRule="auto"/>
        <w:ind w:firstLine="480" w:firstLineChars="200"/>
        <w:rPr>
          <w:rStyle w:val="8"/>
          <w:rFonts w:ascii="宋体" w:hAnsi="宋体"/>
          <w:sz w:val="24"/>
          <w:szCs w:val="24"/>
        </w:rPr>
      </w:pPr>
      <w:r>
        <w:rPr>
          <w:rStyle w:val="8"/>
          <w:rFonts w:ascii="宋体" w:hAnsi="宋体"/>
          <w:sz w:val="24"/>
          <w:szCs w:val="24"/>
        </w:rPr>
        <w:t>乙方负责按以上确定的服务及配套内容进行服务，及时制定服务计划，确保所有服务有序、安全、全面进行，做好服务工作。</w:t>
      </w:r>
    </w:p>
    <w:p w14:paraId="11CF4F23">
      <w:pPr>
        <w:spacing w:line="360" w:lineRule="auto"/>
        <w:rPr>
          <w:rStyle w:val="8"/>
          <w:rFonts w:hint="eastAsia" w:ascii="宋体" w:hAnsi="宋体"/>
          <w:b/>
          <w:bCs/>
          <w:sz w:val="24"/>
          <w:szCs w:val="24"/>
          <w:lang w:val="en-US"/>
        </w:rPr>
      </w:pPr>
      <w:r>
        <w:rPr>
          <w:rStyle w:val="8"/>
          <w:rFonts w:hint="eastAsia" w:ascii="宋体" w:hAnsi="宋体"/>
          <w:b/>
          <w:bCs/>
          <w:sz w:val="24"/>
          <w:szCs w:val="24"/>
          <w:lang w:val="en-US"/>
        </w:rPr>
        <w:t>服务期：</w:t>
      </w:r>
    </w:p>
    <w:p w14:paraId="3B1355F5">
      <w:pPr>
        <w:spacing w:line="360" w:lineRule="auto"/>
        <w:ind w:firstLine="480" w:firstLineChars="200"/>
        <w:rPr>
          <w:rStyle w:val="8"/>
          <w:rFonts w:hint="eastAsia" w:ascii="宋体" w:hAnsi="宋体"/>
          <w:sz w:val="24"/>
          <w:szCs w:val="24"/>
          <w:lang w:val="en-US"/>
        </w:rPr>
      </w:pPr>
      <w:r>
        <w:rPr>
          <w:rStyle w:val="8"/>
          <w:rFonts w:hint="eastAsia" w:ascii="宋体" w:hAnsi="宋体"/>
          <w:sz w:val="24"/>
          <w:szCs w:val="24"/>
          <w:lang w:val="en-US"/>
        </w:rPr>
        <w:t>第一项：2G带宽，服务期自2025年1月1日至2025年12月31日。</w:t>
      </w:r>
    </w:p>
    <w:p w14:paraId="67B5C6D2">
      <w:pPr>
        <w:spacing w:line="360" w:lineRule="auto"/>
        <w:ind w:firstLine="480" w:firstLineChars="200"/>
        <w:rPr>
          <w:rStyle w:val="8"/>
          <w:rFonts w:hint="eastAsia" w:ascii="宋体" w:hAnsi="宋体"/>
          <w:sz w:val="24"/>
          <w:szCs w:val="24"/>
          <w:lang w:val="en-US"/>
        </w:rPr>
      </w:pPr>
      <w:r>
        <w:rPr>
          <w:rStyle w:val="8"/>
          <w:rFonts w:hint="eastAsia" w:ascii="宋体" w:hAnsi="宋体"/>
          <w:sz w:val="24"/>
          <w:szCs w:val="24"/>
          <w:lang w:val="en-US"/>
        </w:rPr>
        <w:t>第二项：2G带宽，服务期自2025年6月1日至2026年5月31日。</w:t>
      </w:r>
    </w:p>
    <w:p w14:paraId="4BDF9216">
      <w:pPr>
        <w:spacing w:line="360" w:lineRule="auto"/>
        <w:ind w:firstLine="480" w:firstLineChars="200"/>
        <w:rPr>
          <w:rStyle w:val="8"/>
          <w:rFonts w:hint="default" w:ascii="宋体" w:hAnsi="宋体"/>
          <w:sz w:val="24"/>
          <w:szCs w:val="24"/>
          <w:lang w:val="en-US"/>
        </w:rPr>
      </w:pPr>
      <w:r>
        <w:rPr>
          <w:rStyle w:val="8"/>
          <w:rFonts w:hint="eastAsia" w:ascii="宋体" w:hAnsi="宋体"/>
          <w:sz w:val="24"/>
          <w:szCs w:val="24"/>
          <w:lang w:val="en-US"/>
        </w:rPr>
        <w:t>第三项：1G带宽，服务期自2025年8月25日至2026年8月24日。</w:t>
      </w:r>
    </w:p>
    <w:p w14:paraId="10DF1C3D">
      <w:pPr>
        <w:spacing w:line="360" w:lineRule="auto"/>
        <w:ind w:firstLine="482" w:firstLineChars="200"/>
        <w:rPr>
          <w:rFonts w:hint="eastAsia" w:ascii="宋体" w:hAnsi="宋体" w:cs="宋体"/>
          <w:b/>
          <w:sz w:val="24"/>
          <w:szCs w:val="24"/>
        </w:rPr>
      </w:pPr>
      <w:r>
        <w:rPr>
          <w:rFonts w:hint="eastAsia" w:ascii="宋体" w:hAnsi="宋体" w:cs="宋体"/>
          <w:b/>
          <w:sz w:val="24"/>
          <w:szCs w:val="24"/>
        </w:rPr>
        <w:t>二、合同价格</w:t>
      </w:r>
      <w:bookmarkEnd w:id="1"/>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8"/>
        <w:gridCol w:w="3261"/>
        <w:gridCol w:w="4080"/>
      </w:tblGrid>
      <w:tr w14:paraId="612AA0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exact"/>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674A6289">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baseline"/>
              <w:rPr>
                <w:rStyle w:val="8"/>
                <w:rFonts w:ascii="宋体" w:hAnsi="宋体"/>
                <w:b/>
                <w:sz w:val="24"/>
              </w:rPr>
            </w:pPr>
            <w:r>
              <w:rPr>
                <w:rStyle w:val="8"/>
                <w:rFonts w:ascii="宋体" w:hAnsi="宋体"/>
                <w:b/>
                <w:sz w:val="24"/>
              </w:rPr>
              <w:t>序号</w:t>
            </w:r>
          </w:p>
        </w:tc>
        <w:tc>
          <w:tcPr>
            <w:tcW w:w="3261" w:type="dxa"/>
            <w:tcBorders>
              <w:top w:val="single" w:color="000000" w:sz="4" w:space="0"/>
              <w:left w:val="single" w:color="000000" w:sz="4" w:space="0"/>
              <w:bottom w:val="single" w:color="000000" w:sz="4" w:space="0"/>
              <w:right w:val="single" w:color="000000" w:sz="4" w:space="0"/>
            </w:tcBorders>
            <w:noWrap w:val="0"/>
            <w:vAlign w:val="center"/>
          </w:tcPr>
          <w:p w14:paraId="2E2A9435">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baseline"/>
              <w:rPr>
                <w:rStyle w:val="8"/>
                <w:rFonts w:ascii="宋体" w:hAnsi="宋体"/>
                <w:b/>
                <w:sz w:val="24"/>
              </w:rPr>
            </w:pPr>
            <w:r>
              <w:rPr>
                <w:rStyle w:val="8"/>
                <w:rFonts w:ascii="宋体" w:hAnsi="宋体"/>
                <w:b/>
                <w:sz w:val="24"/>
              </w:rPr>
              <w:t>服务内容</w:t>
            </w:r>
          </w:p>
        </w:tc>
        <w:tc>
          <w:tcPr>
            <w:tcW w:w="4080" w:type="dxa"/>
            <w:tcBorders>
              <w:top w:val="single" w:color="000000" w:sz="4" w:space="0"/>
              <w:left w:val="single" w:color="000000" w:sz="4" w:space="0"/>
              <w:bottom w:val="single" w:color="000000" w:sz="4" w:space="0"/>
              <w:right w:val="single" w:color="000000" w:sz="4" w:space="0"/>
            </w:tcBorders>
            <w:noWrap w:val="0"/>
            <w:vAlign w:val="center"/>
          </w:tcPr>
          <w:p w14:paraId="505FAF13">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baseline"/>
              <w:rPr>
                <w:rStyle w:val="8"/>
                <w:rFonts w:ascii="宋体" w:hAnsi="宋体"/>
                <w:b/>
                <w:sz w:val="24"/>
              </w:rPr>
            </w:pPr>
            <w:r>
              <w:rPr>
                <w:rStyle w:val="8"/>
                <w:rFonts w:hint="eastAsia" w:ascii="宋体" w:hAnsi="宋体"/>
                <w:b/>
                <w:sz w:val="24"/>
              </w:rPr>
              <w:t>单价（元）</w:t>
            </w:r>
          </w:p>
        </w:tc>
      </w:tr>
      <w:tr w14:paraId="1B84F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exact"/>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686776DD">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baseline"/>
              <w:rPr>
                <w:rStyle w:val="8"/>
                <w:rFonts w:ascii="宋体" w:hAnsi="宋体"/>
                <w:color w:val="000000"/>
                <w:szCs w:val="21"/>
              </w:rPr>
            </w:pPr>
            <w:r>
              <w:rPr>
                <w:rStyle w:val="8"/>
                <w:rFonts w:ascii="宋体" w:hAnsi="宋体"/>
                <w:color w:val="000000"/>
                <w:szCs w:val="21"/>
              </w:rPr>
              <w:t>1</w:t>
            </w:r>
          </w:p>
        </w:tc>
        <w:tc>
          <w:tcPr>
            <w:tcW w:w="3261" w:type="dxa"/>
            <w:tcBorders>
              <w:top w:val="single" w:color="000000" w:sz="4" w:space="0"/>
              <w:left w:val="single" w:color="000000" w:sz="4" w:space="0"/>
              <w:bottom w:val="single" w:color="000000" w:sz="4" w:space="0"/>
              <w:right w:val="single" w:color="000000" w:sz="4" w:space="0"/>
            </w:tcBorders>
            <w:noWrap w:val="0"/>
            <w:vAlign w:val="center"/>
          </w:tcPr>
          <w:p w14:paraId="25752EA4">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center"/>
              <w:rPr>
                <w:rStyle w:val="8"/>
                <w:rFonts w:ascii="宋体" w:hAnsi="宋体"/>
                <w:color w:val="000000"/>
                <w:szCs w:val="21"/>
              </w:rPr>
            </w:pPr>
          </w:p>
        </w:tc>
        <w:tc>
          <w:tcPr>
            <w:tcW w:w="4080" w:type="dxa"/>
            <w:tcBorders>
              <w:top w:val="single" w:color="000000" w:sz="4" w:space="0"/>
              <w:left w:val="single" w:color="000000" w:sz="4" w:space="0"/>
              <w:bottom w:val="single" w:color="000000" w:sz="4" w:space="0"/>
              <w:right w:val="single" w:color="000000" w:sz="4" w:space="0"/>
            </w:tcBorders>
            <w:noWrap w:val="0"/>
            <w:vAlign w:val="center"/>
          </w:tcPr>
          <w:p w14:paraId="45114C45">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center"/>
              <w:rPr>
                <w:rStyle w:val="8"/>
                <w:rFonts w:ascii="宋体" w:hAnsi="宋体"/>
                <w:color w:val="000000"/>
                <w:szCs w:val="21"/>
              </w:rPr>
            </w:pPr>
          </w:p>
        </w:tc>
      </w:tr>
      <w:tr w14:paraId="456F3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exact"/>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219CAA6C">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baseline"/>
              <w:rPr>
                <w:rStyle w:val="8"/>
                <w:rFonts w:ascii="宋体" w:hAnsi="宋体"/>
                <w:color w:val="000000"/>
                <w:szCs w:val="21"/>
              </w:rPr>
            </w:pPr>
            <w:r>
              <w:rPr>
                <w:rStyle w:val="8"/>
                <w:rFonts w:ascii="宋体" w:hAnsi="宋体"/>
                <w:color w:val="000000"/>
                <w:szCs w:val="21"/>
              </w:rPr>
              <w:t>2</w:t>
            </w:r>
          </w:p>
        </w:tc>
        <w:tc>
          <w:tcPr>
            <w:tcW w:w="3261" w:type="dxa"/>
            <w:tcBorders>
              <w:top w:val="single" w:color="000000" w:sz="4" w:space="0"/>
              <w:left w:val="single" w:color="000000" w:sz="4" w:space="0"/>
              <w:bottom w:val="single" w:color="000000" w:sz="4" w:space="0"/>
              <w:right w:val="single" w:color="000000" w:sz="4" w:space="0"/>
            </w:tcBorders>
            <w:noWrap w:val="0"/>
            <w:vAlign w:val="center"/>
          </w:tcPr>
          <w:p w14:paraId="2A4B6534">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center"/>
              <w:rPr>
                <w:rStyle w:val="8"/>
                <w:rFonts w:ascii="宋体" w:hAnsi="宋体"/>
                <w:color w:val="000000"/>
                <w:szCs w:val="21"/>
              </w:rPr>
            </w:pPr>
          </w:p>
        </w:tc>
        <w:tc>
          <w:tcPr>
            <w:tcW w:w="4080" w:type="dxa"/>
            <w:tcBorders>
              <w:top w:val="single" w:color="000000" w:sz="4" w:space="0"/>
              <w:left w:val="single" w:color="000000" w:sz="4" w:space="0"/>
              <w:bottom w:val="single" w:color="000000" w:sz="4" w:space="0"/>
              <w:right w:val="single" w:color="000000" w:sz="4" w:space="0"/>
            </w:tcBorders>
            <w:noWrap w:val="0"/>
            <w:vAlign w:val="center"/>
          </w:tcPr>
          <w:p w14:paraId="72C7EBEC">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center"/>
              <w:rPr>
                <w:rStyle w:val="8"/>
                <w:rFonts w:ascii="宋体" w:hAnsi="宋体"/>
                <w:color w:val="000000"/>
                <w:szCs w:val="21"/>
              </w:rPr>
            </w:pPr>
          </w:p>
        </w:tc>
      </w:tr>
      <w:tr w14:paraId="652E8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exact"/>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6F91817D">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baseline"/>
              <w:rPr>
                <w:rStyle w:val="8"/>
                <w:rFonts w:ascii="宋体" w:hAnsi="宋体"/>
                <w:color w:val="000000"/>
                <w:szCs w:val="21"/>
              </w:rPr>
            </w:pPr>
            <w:r>
              <w:rPr>
                <w:rStyle w:val="8"/>
                <w:rFonts w:ascii="宋体" w:hAnsi="宋体"/>
                <w:color w:val="000000"/>
                <w:szCs w:val="21"/>
              </w:rPr>
              <w:t>3</w:t>
            </w:r>
          </w:p>
        </w:tc>
        <w:tc>
          <w:tcPr>
            <w:tcW w:w="3261" w:type="dxa"/>
            <w:tcBorders>
              <w:top w:val="single" w:color="000000" w:sz="4" w:space="0"/>
              <w:left w:val="single" w:color="000000" w:sz="4" w:space="0"/>
              <w:bottom w:val="single" w:color="000000" w:sz="4" w:space="0"/>
              <w:right w:val="single" w:color="000000" w:sz="4" w:space="0"/>
            </w:tcBorders>
            <w:noWrap w:val="0"/>
            <w:vAlign w:val="center"/>
          </w:tcPr>
          <w:p w14:paraId="0C101981">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center"/>
              <w:rPr>
                <w:rStyle w:val="8"/>
                <w:rFonts w:ascii="宋体" w:hAnsi="宋体"/>
                <w:color w:val="000000"/>
                <w:szCs w:val="21"/>
              </w:rPr>
            </w:pPr>
          </w:p>
        </w:tc>
        <w:tc>
          <w:tcPr>
            <w:tcW w:w="4080" w:type="dxa"/>
            <w:tcBorders>
              <w:top w:val="single" w:color="000000" w:sz="4" w:space="0"/>
              <w:left w:val="single" w:color="000000" w:sz="4" w:space="0"/>
              <w:bottom w:val="single" w:color="000000" w:sz="4" w:space="0"/>
              <w:right w:val="single" w:color="000000" w:sz="4" w:space="0"/>
            </w:tcBorders>
            <w:noWrap w:val="0"/>
            <w:vAlign w:val="center"/>
          </w:tcPr>
          <w:p w14:paraId="76AF55EB">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center"/>
              <w:rPr>
                <w:rStyle w:val="8"/>
                <w:rFonts w:ascii="宋体" w:hAnsi="宋体"/>
                <w:color w:val="000000"/>
                <w:szCs w:val="21"/>
              </w:rPr>
            </w:pPr>
          </w:p>
        </w:tc>
      </w:tr>
      <w:tr w14:paraId="46980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exact"/>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1FC73148">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baseline"/>
              <w:rPr>
                <w:rStyle w:val="8"/>
                <w:rFonts w:ascii="宋体" w:hAnsi="宋体"/>
                <w:color w:val="000000"/>
                <w:szCs w:val="21"/>
              </w:rPr>
            </w:pPr>
            <w:r>
              <w:rPr>
                <w:rStyle w:val="8"/>
                <w:rFonts w:ascii="宋体" w:hAnsi="宋体"/>
                <w:color w:val="000000"/>
                <w:szCs w:val="21"/>
              </w:rPr>
              <w:t>…</w:t>
            </w:r>
          </w:p>
        </w:tc>
        <w:tc>
          <w:tcPr>
            <w:tcW w:w="3261" w:type="dxa"/>
            <w:tcBorders>
              <w:top w:val="single" w:color="000000" w:sz="4" w:space="0"/>
              <w:left w:val="single" w:color="000000" w:sz="4" w:space="0"/>
              <w:bottom w:val="single" w:color="000000" w:sz="4" w:space="0"/>
              <w:right w:val="single" w:color="000000" w:sz="4" w:space="0"/>
            </w:tcBorders>
            <w:noWrap w:val="0"/>
            <w:vAlign w:val="center"/>
          </w:tcPr>
          <w:p w14:paraId="18EF91A5">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center"/>
              <w:rPr>
                <w:rStyle w:val="8"/>
                <w:rFonts w:ascii="宋体" w:hAnsi="宋体"/>
                <w:color w:val="000000"/>
                <w:szCs w:val="21"/>
              </w:rPr>
            </w:pPr>
          </w:p>
        </w:tc>
        <w:tc>
          <w:tcPr>
            <w:tcW w:w="4080" w:type="dxa"/>
            <w:tcBorders>
              <w:top w:val="single" w:color="000000" w:sz="4" w:space="0"/>
              <w:left w:val="single" w:color="000000" w:sz="4" w:space="0"/>
              <w:bottom w:val="single" w:color="000000" w:sz="4" w:space="0"/>
              <w:right w:val="single" w:color="000000" w:sz="4" w:space="0"/>
            </w:tcBorders>
            <w:noWrap w:val="0"/>
            <w:vAlign w:val="center"/>
          </w:tcPr>
          <w:p w14:paraId="0648596E">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center"/>
              <w:rPr>
                <w:rStyle w:val="8"/>
                <w:rFonts w:ascii="宋体" w:hAnsi="宋体"/>
                <w:color w:val="000000"/>
                <w:szCs w:val="21"/>
              </w:rPr>
            </w:pPr>
          </w:p>
        </w:tc>
      </w:tr>
    </w:tbl>
    <w:p w14:paraId="5666D05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bookmarkStart w:id="2" w:name="_Toc25694"/>
      <w:r>
        <w:rPr>
          <w:rFonts w:hint="eastAsia" w:ascii="宋体" w:hAnsi="宋体" w:eastAsia="宋体" w:cs="宋体"/>
          <w:b/>
          <w:bCs/>
          <w:sz w:val="24"/>
          <w:szCs w:val="24"/>
        </w:rPr>
        <w:t>三、付款方式</w:t>
      </w:r>
      <w:bookmarkEnd w:id="2"/>
    </w:p>
    <w:p w14:paraId="02109C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 w:name="_Toc17949"/>
      <w:r>
        <w:rPr>
          <w:rFonts w:hint="eastAsia" w:ascii="宋体" w:hAnsi="宋体" w:eastAsia="宋体" w:cs="宋体"/>
          <w:sz w:val="24"/>
          <w:szCs w:val="24"/>
        </w:rPr>
        <w:t>（1）合同签订后 ，达到付款条件起 30 日内，支付合同总金额的 100.00%。</w:t>
      </w:r>
      <w:bookmarkStart w:id="22" w:name="_GoBack"/>
      <w:bookmarkEnd w:id="22"/>
    </w:p>
    <w:p w14:paraId="41E7B1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（2）在每次付款前，供应商必须开具</w:t>
      </w:r>
      <w:r>
        <w:rPr>
          <w:rFonts w:hint="eastAsia" w:ascii="宋体" w:hAnsi="宋体" w:eastAsia="宋体" w:cs="宋体"/>
          <w:sz w:val="24"/>
          <w:szCs w:val="24"/>
          <w:lang w:val="en-US" w:eastAsia="zh-CN"/>
        </w:rPr>
        <w:t>相应</w:t>
      </w:r>
      <w:r>
        <w:rPr>
          <w:rFonts w:hint="eastAsia" w:ascii="宋体" w:hAnsi="宋体" w:eastAsia="宋体" w:cs="宋体"/>
          <w:sz w:val="24"/>
          <w:szCs w:val="24"/>
        </w:rPr>
        <w:t>的发票给采购人。</w:t>
      </w:r>
    </w:p>
    <w:p w14:paraId="213EF47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四、违约责任</w:t>
      </w:r>
      <w:bookmarkEnd w:id="3"/>
    </w:p>
    <w:p w14:paraId="4EC491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（1）按《中华人民共和国民法典》中的相关条款执行。</w:t>
      </w:r>
    </w:p>
    <w:p w14:paraId="29963B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（2）未按合同要求提供服务或服务质量不能满足技术要求，采购人有权终止合同，并对成交人违约行为进行追究，同时按《</w:t>
      </w:r>
      <w:r>
        <w:rPr>
          <w:rFonts w:hint="eastAsia" w:ascii="宋体" w:hAnsi="宋体" w:eastAsia="宋体" w:cs="宋体"/>
          <w:sz w:val="24"/>
          <w:szCs w:val="24"/>
          <w:lang w:val="en-US" w:eastAsia="zh-CN"/>
        </w:rPr>
        <w:t>中华人民共和国</w:t>
      </w:r>
      <w:r>
        <w:rPr>
          <w:rFonts w:hint="eastAsia" w:ascii="宋体" w:hAnsi="宋体" w:eastAsia="宋体" w:cs="宋体"/>
          <w:sz w:val="24"/>
          <w:szCs w:val="24"/>
        </w:rPr>
        <w:t>政府采购法》的有关规定进行处罚。</w:t>
      </w:r>
    </w:p>
    <w:p w14:paraId="784BEEFB">
      <w:pPr>
        <w:tabs>
          <w:tab w:val="left" w:pos="840"/>
        </w:tabs>
        <w:spacing w:line="360" w:lineRule="auto"/>
        <w:ind w:firstLine="482" w:firstLineChars="200"/>
        <w:rPr>
          <w:rFonts w:hint="eastAsia" w:ascii="宋体" w:hAnsi="宋体" w:cs="宋体"/>
          <w:b/>
          <w:sz w:val="24"/>
          <w:szCs w:val="24"/>
        </w:rPr>
      </w:pPr>
      <w:bookmarkStart w:id="4" w:name="_Toc27851"/>
      <w:r>
        <w:rPr>
          <w:rFonts w:hint="eastAsia" w:ascii="宋体" w:hAnsi="宋体" w:cs="宋体"/>
          <w:b/>
          <w:sz w:val="24"/>
          <w:szCs w:val="24"/>
        </w:rPr>
        <w:t>五、双方的权利和义务</w:t>
      </w:r>
      <w:bookmarkEnd w:id="4"/>
    </w:p>
    <w:p w14:paraId="032A0D38">
      <w:pPr>
        <w:tabs>
          <w:tab w:val="left" w:pos="840"/>
        </w:tabs>
        <w:spacing w:line="360" w:lineRule="auto"/>
        <w:ind w:firstLine="480" w:firstLineChars="200"/>
        <w:rPr>
          <w:rFonts w:hint="eastAsia" w:ascii="宋体" w:hAnsi="宋体" w:cs="宋体"/>
          <w:sz w:val="24"/>
          <w:szCs w:val="24"/>
        </w:rPr>
      </w:pPr>
      <w:bookmarkStart w:id="5" w:name="_Toc29312"/>
      <w:r>
        <w:rPr>
          <w:rFonts w:hint="eastAsia" w:ascii="宋体" w:hAnsi="宋体" w:cs="宋体"/>
          <w:sz w:val="24"/>
          <w:szCs w:val="24"/>
        </w:rPr>
        <w:t>1、甲方责任</w:t>
      </w:r>
      <w:bookmarkEnd w:id="5"/>
    </w:p>
    <w:p w14:paraId="299BFC4A">
      <w:pPr>
        <w:tabs>
          <w:tab w:val="left" w:pos="840"/>
        </w:tabs>
        <w:spacing w:line="360" w:lineRule="auto"/>
        <w:ind w:firstLine="480" w:firstLineChars="200"/>
        <w:rPr>
          <w:rFonts w:hint="eastAsia" w:ascii="宋体" w:hAnsi="宋体" w:cs="宋体"/>
          <w:sz w:val="24"/>
          <w:szCs w:val="24"/>
        </w:rPr>
      </w:pPr>
      <w:r>
        <w:rPr>
          <w:rFonts w:hint="eastAsia" w:ascii="宋体" w:hAnsi="宋体" w:cs="宋体"/>
          <w:sz w:val="24"/>
          <w:szCs w:val="24"/>
        </w:rPr>
        <w:t>负责核准、认定本项目相关技术资料文档；监督、参与项目执行的整个过程为乙方提供必要的工作条件，并提供产品及服务所必需的运行环境；按照合同约定支付合同款项。</w:t>
      </w:r>
    </w:p>
    <w:p w14:paraId="4707B9C1">
      <w:pPr>
        <w:tabs>
          <w:tab w:val="left" w:pos="840"/>
        </w:tabs>
        <w:spacing w:line="360" w:lineRule="auto"/>
        <w:ind w:firstLine="480" w:firstLineChars="200"/>
        <w:rPr>
          <w:rFonts w:hint="eastAsia" w:ascii="宋体" w:hAnsi="宋体" w:cs="宋体"/>
          <w:sz w:val="24"/>
          <w:szCs w:val="24"/>
        </w:rPr>
      </w:pPr>
      <w:bookmarkStart w:id="6" w:name="_Toc27354"/>
      <w:r>
        <w:rPr>
          <w:rFonts w:hint="eastAsia" w:ascii="宋体" w:hAnsi="宋体" w:cs="宋体"/>
          <w:sz w:val="24"/>
          <w:szCs w:val="24"/>
        </w:rPr>
        <w:t>2、乙方责任</w:t>
      </w:r>
      <w:bookmarkEnd w:id="6"/>
    </w:p>
    <w:p w14:paraId="09C5EBBE">
      <w:pPr>
        <w:tabs>
          <w:tab w:val="left" w:pos="840"/>
        </w:tabs>
        <w:spacing w:line="360" w:lineRule="auto"/>
        <w:ind w:firstLine="480" w:firstLineChars="200"/>
        <w:rPr>
          <w:rFonts w:hint="eastAsia" w:ascii="宋体" w:hAnsi="宋体" w:cs="宋体"/>
          <w:sz w:val="24"/>
          <w:szCs w:val="24"/>
        </w:rPr>
      </w:pPr>
      <w:r>
        <w:rPr>
          <w:rFonts w:hint="eastAsia" w:ascii="宋体" w:hAnsi="宋体" w:cs="宋体"/>
          <w:sz w:val="24"/>
          <w:szCs w:val="24"/>
        </w:rPr>
        <w:t>项目的交接；按时完成本合同所涉及产品及服务项目的验收工作；协助配合甲方完成采购项目；做好整个项目的售后服务技术支持工作。</w:t>
      </w:r>
    </w:p>
    <w:p w14:paraId="680E4E92">
      <w:pPr>
        <w:tabs>
          <w:tab w:val="left" w:pos="840"/>
        </w:tabs>
        <w:spacing w:line="360" w:lineRule="auto"/>
        <w:ind w:firstLine="482" w:firstLineChars="200"/>
        <w:rPr>
          <w:rFonts w:hint="eastAsia" w:ascii="宋体" w:hAnsi="宋体" w:cs="宋体"/>
          <w:b/>
          <w:sz w:val="24"/>
          <w:szCs w:val="24"/>
        </w:rPr>
      </w:pPr>
      <w:bookmarkStart w:id="7" w:name="_Toc22476"/>
      <w:r>
        <w:rPr>
          <w:rFonts w:hint="eastAsia" w:ascii="宋体" w:hAnsi="宋体" w:cs="宋体"/>
          <w:b/>
          <w:sz w:val="24"/>
          <w:szCs w:val="24"/>
        </w:rPr>
        <w:t>六、质量保证</w:t>
      </w:r>
      <w:bookmarkEnd w:id="7"/>
    </w:p>
    <w:p w14:paraId="49B1A88E">
      <w:pPr>
        <w:snapToGrid w:val="0"/>
        <w:spacing w:line="400" w:lineRule="exact"/>
        <w:ind w:firstLine="480" w:firstLineChars="200"/>
        <w:textAlignment w:val="baseline"/>
        <w:rPr>
          <w:rStyle w:val="8"/>
          <w:rFonts w:ascii="宋体" w:hAnsi="宋体"/>
          <w:sz w:val="24"/>
        </w:rPr>
      </w:pPr>
      <w:bookmarkStart w:id="8" w:name="_Toc27163"/>
      <w:r>
        <w:rPr>
          <w:rStyle w:val="8"/>
          <w:rFonts w:ascii="宋体" w:hAnsi="宋体"/>
          <w:sz w:val="24"/>
        </w:rPr>
        <w:t>1、乙方保证所提供的服务有保障措施，包括组织保障、人员保障、产品保障，并安全按照相应文件计划、安排、配置进行；</w:t>
      </w:r>
    </w:p>
    <w:p w14:paraId="2F6C1A72">
      <w:pPr>
        <w:snapToGrid w:val="0"/>
        <w:spacing w:line="400" w:lineRule="exact"/>
        <w:ind w:firstLine="480" w:firstLineChars="200"/>
        <w:textAlignment w:val="baseline"/>
        <w:rPr>
          <w:rStyle w:val="8"/>
          <w:rFonts w:ascii="宋体" w:hAnsi="宋体"/>
          <w:sz w:val="24"/>
        </w:rPr>
      </w:pPr>
      <w:r>
        <w:rPr>
          <w:rStyle w:val="8"/>
          <w:rFonts w:ascii="宋体" w:hAnsi="宋体"/>
          <w:sz w:val="24"/>
        </w:rPr>
        <w:t>3、乙方要以严肃认真、及时准确、高度负责的态度和行为，为甲方提供优质高效的服务。</w:t>
      </w:r>
    </w:p>
    <w:p w14:paraId="322B530C">
      <w:pPr>
        <w:pStyle w:val="5"/>
        <w:spacing w:before="1" w:line="360" w:lineRule="auto"/>
        <w:ind w:firstLine="482" w:firstLineChars="200"/>
        <w:rPr>
          <w:rFonts w:hint="eastAsia" w:ascii="宋体" w:hAnsi="宋体" w:cs="宋体"/>
          <w:b/>
          <w:bCs/>
          <w:color w:val="000000"/>
          <w:sz w:val="24"/>
          <w:szCs w:val="24"/>
          <w:lang w:val="zh-CN" w:bidi="zh-CN"/>
        </w:rPr>
      </w:pPr>
      <w:r>
        <w:rPr>
          <w:rFonts w:hint="eastAsia" w:ascii="宋体" w:hAnsi="宋体" w:cs="宋体"/>
          <w:b/>
          <w:bCs/>
          <w:color w:val="000000"/>
          <w:sz w:val="24"/>
          <w:szCs w:val="24"/>
          <w:lang w:val="zh-CN" w:bidi="zh-CN"/>
        </w:rPr>
        <w:t>七、违约责任</w:t>
      </w:r>
      <w:bookmarkEnd w:id="8"/>
    </w:p>
    <w:p w14:paraId="33ED0DF4">
      <w:pPr>
        <w:spacing w:line="360" w:lineRule="auto"/>
        <w:ind w:firstLine="480" w:firstLineChars="200"/>
        <w:textAlignment w:val="baseline"/>
        <w:rPr>
          <w:rStyle w:val="8"/>
          <w:rFonts w:ascii="宋体" w:hAnsi="宋体"/>
          <w:bCs/>
          <w:sz w:val="24"/>
        </w:rPr>
      </w:pPr>
      <w:r>
        <w:rPr>
          <w:rStyle w:val="8"/>
          <w:rFonts w:hint="eastAsia" w:ascii="宋体" w:hAnsi="宋体"/>
          <w:bCs/>
          <w:sz w:val="24"/>
        </w:rPr>
        <w:t>1</w:t>
      </w:r>
      <w:r>
        <w:rPr>
          <w:rStyle w:val="8"/>
          <w:rFonts w:ascii="宋体" w:hAnsi="宋体"/>
          <w:bCs/>
          <w:sz w:val="24"/>
        </w:rPr>
        <w:t>、合同生效后，甲乙双方应按合同规定认真履约。合同履约责任只涉及合同甲乙双方，不考虑第三方因素。</w:t>
      </w:r>
    </w:p>
    <w:p w14:paraId="012BA9AF">
      <w:pPr>
        <w:spacing w:line="360" w:lineRule="auto"/>
        <w:ind w:firstLine="480" w:firstLineChars="200"/>
        <w:textAlignment w:val="baseline"/>
        <w:rPr>
          <w:rStyle w:val="8"/>
          <w:rFonts w:ascii="宋体" w:hAnsi="宋体"/>
          <w:bCs/>
          <w:sz w:val="24"/>
        </w:rPr>
      </w:pPr>
      <w:r>
        <w:rPr>
          <w:rStyle w:val="8"/>
          <w:rFonts w:ascii="宋体" w:hAnsi="宋体"/>
          <w:bCs/>
          <w:sz w:val="24"/>
        </w:rPr>
        <w:t>2、乙方对服务过程中出现的问题推委、拖延，24小时未作出服务响应，应接受甲方的合理处罚。</w:t>
      </w:r>
    </w:p>
    <w:p w14:paraId="7C0406E5">
      <w:pPr>
        <w:spacing w:line="360" w:lineRule="auto"/>
        <w:ind w:firstLine="480" w:firstLineChars="200"/>
        <w:textAlignment w:val="baseline"/>
        <w:rPr>
          <w:rStyle w:val="8"/>
          <w:rFonts w:ascii="宋体" w:hAnsi="宋体"/>
          <w:bCs/>
          <w:sz w:val="24"/>
        </w:rPr>
      </w:pPr>
      <w:r>
        <w:rPr>
          <w:rStyle w:val="8"/>
          <w:rFonts w:ascii="宋体" w:hAnsi="宋体"/>
          <w:bCs/>
          <w:sz w:val="24"/>
        </w:rPr>
        <w:t>3、由于乙方原因不能履行合同服务项目，或履行合同质效达不到规定，甲方有权聘请第三方公司执行合同内所列项目，有权终止合同。</w:t>
      </w:r>
    </w:p>
    <w:p w14:paraId="5EA8BCDC">
      <w:pPr>
        <w:pStyle w:val="5"/>
        <w:spacing w:before="1" w:line="360" w:lineRule="auto"/>
        <w:ind w:firstLine="482" w:firstLineChars="200"/>
        <w:rPr>
          <w:rFonts w:hint="eastAsia" w:ascii="宋体" w:hAnsi="宋体" w:cs="宋体"/>
          <w:b/>
          <w:bCs/>
          <w:color w:val="000000"/>
          <w:sz w:val="24"/>
          <w:szCs w:val="24"/>
          <w:lang w:val="zh-CN" w:bidi="zh-CN"/>
        </w:rPr>
      </w:pPr>
      <w:bookmarkStart w:id="9" w:name="_Toc19786"/>
      <w:bookmarkStart w:id="10" w:name="_Toc19192"/>
      <w:r>
        <w:rPr>
          <w:rFonts w:hint="eastAsia" w:ascii="宋体" w:hAnsi="宋体" w:cs="宋体"/>
          <w:b/>
          <w:bCs/>
          <w:color w:val="000000"/>
          <w:sz w:val="24"/>
          <w:szCs w:val="24"/>
          <w:lang w:bidi="zh-CN"/>
        </w:rPr>
        <w:t>八</w:t>
      </w:r>
      <w:r>
        <w:rPr>
          <w:rFonts w:hint="eastAsia" w:ascii="宋体" w:hAnsi="宋体" w:cs="宋体"/>
          <w:b/>
          <w:bCs/>
          <w:color w:val="000000"/>
          <w:sz w:val="24"/>
          <w:szCs w:val="24"/>
          <w:lang w:val="zh-CN" w:bidi="zh-CN"/>
        </w:rPr>
        <w:t>、</w:t>
      </w:r>
      <w:bookmarkStart w:id="11" w:name="_Toc9581"/>
      <w:bookmarkStart w:id="12" w:name="_Toc344475123"/>
      <w:bookmarkStart w:id="13" w:name="_Toc26781"/>
      <w:r>
        <w:rPr>
          <w:rFonts w:hint="eastAsia" w:ascii="宋体" w:hAnsi="宋体" w:cs="宋体"/>
          <w:b/>
          <w:bCs/>
          <w:color w:val="000000"/>
          <w:sz w:val="24"/>
          <w:szCs w:val="24"/>
          <w:lang w:val="zh-CN" w:bidi="zh-CN"/>
        </w:rPr>
        <w:t>知识产权保密要求</w:t>
      </w:r>
      <w:bookmarkEnd w:id="9"/>
    </w:p>
    <w:p w14:paraId="18DB87D6">
      <w:pPr>
        <w:spacing w:line="360" w:lineRule="auto"/>
        <w:ind w:firstLine="480" w:firstLineChars="200"/>
        <w:textAlignment w:val="baseline"/>
        <w:rPr>
          <w:rStyle w:val="8"/>
          <w:rFonts w:ascii="宋体" w:hAnsi="宋体"/>
          <w:bCs/>
          <w:sz w:val="24"/>
        </w:rPr>
      </w:pPr>
      <w:bookmarkStart w:id="14" w:name="_Toc19899"/>
      <w:bookmarkStart w:id="15" w:name="_Toc20438"/>
      <w:bookmarkStart w:id="16" w:name="_Toc22125"/>
      <w:r>
        <w:rPr>
          <w:rStyle w:val="8"/>
          <w:rFonts w:hint="eastAsia" w:ascii="宋体" w:hAnsi="宋体"/>
          <w:bCs/>
          <w:sz w:val="24"/>
        </w:rPr>
        <w:t>1、采购人在中华人民共和国境内使用成交供应商提供的货物及服务时免受第三方提出的侵犯其专利权或其它知识产权的起诉。如果第三方提出侵权指控，成交供应商应承担由此而引起的一切法律责任和费用。</w:t>
      </w:r>
    </w:p>
    <w:p w14:paraId="2A059678">
      <w:pPr>
        <w:spacing w:line="360" w:lineRule="auto"/>
        <w:ind w:firstLine="480" w:firstLineChars="200"/>
        <w:textAlignment w:val="baseline"/>
        <w:rPr>
          <w:rStyle w:val="8"/>
          <w:rFonts w:ascii="宋体" w:hAnsi="宋体"/>
          <w:bCs/>
          <w:sz w:val="24"/>
        </w:rPr>
      </w:pPr>
      <w:r>
        <w:rPr>
          <w:rStyle w:val="8"/>
          <w:rFonts w:hint="eastAsia" w:ascii="宋体" w:hAnsi="宋体"/>
          <w:bCs/>
          <w:sz w:val="24"/>
        </w:rPr>
        <w:t>2、本次采购项目不涉及知识产权转移，在使用本项目提供服务期间，采购人产生的自主知识产权，归采购人所有。</w:t>
      </w:r>
    </w:p>
    <w:bookmarkEnd w:id="11"/>
    <w:bookmarkEnd w:id="12"/>
    <w:bookmarkEnd w:id="13"/>
    <w:bookmarkEnd w:id="14"/>
    <w:bookmarkEnd w:id="15"/>
    <w:bookmarkEnd w:id="16"/>
    <w:p w14:paraId="6DCE06C1">
      <w:pPr>
        <w:pStyle w:val="5"/>
        <w:spacing w:before="1" w:line="360" w:lineRule="auto"/>
        <w:ind w:firstLine="482" w:firstLineChars="200"/>
        <w:rPr>
          <w:rFonts w:hint="eastAsia" w:ascii="宋体" w:hAnsi="宋体" w:cs="宋体"/>
          <w:b/>
          <w:bCs/>
          <w:color w:val="000000"/>
          <w:sz w:val="24"/>
          <w:szCs w:val="24"/>
          <w:lang w:val="zh-CN" w:bidi="zh-CN"/>
        </w:rPr>
      </w:pPr>
      <w:bookmarkStart w:id="17" w:name="_Toc23747"/>
      <w:r>
        <w:rPr>
          <w:rFonts w:hint="eastAsia" w:ascii="宋体" w:hAnsi="宋体" w:cs="宋体"/>
          <w:b/>
          <w:bCs/>
          <w:color w:val="000000"/>
          <w:sz w:val="24"/>
          <w:szCs w:val="24"/>
          <w:lang w:bidi="zh-CN"/>
        </w:rPr>
        <w:t>九</w:t>
      </w:r>
      <w:r>
        <w:rPr>
          <w:rFonts w:hint="eastAsia" w:ascii="宋体" w:hAnsi="宋体" w:cs="宋体"/>
          <w:b/>
          <w:bCs/>
          <w:color w:val="000000"/>
          <w:sz w:val="24"/>
          <w:szCs w:val="24"/>
          <w:lang w:val="zh-CN" w:bidi="zh-CN"/>
        </w:rPr>
        <w:t>、免责条款</w:t>
      </w:r>
      <w:bookmarkEnd w:id="17"/>
    </w:p>
    <w:p w14:paraId="72E157A8">
      <w:pPr>
        <w:spacing w:line="360" w:lineRule="auto"/>
        <w:ind w:firstLine="480" w:firstLineChars="200"/>
        <w:textAlignment w:val="baseline"/>
        <w:rPr>
          <w:rStyle w:val="8"/>
          <w:rFonts w:hint="eastAsia" w:ascii="宋体" w:hAnsi="宋体"/>
          <w:bCs/>
          <w:sz w:val="24"/>
        </w:rPr>
      </w:pPr>
      <w:r>
        <w:rPr>
          <w:rStyle w:val="8"/>
          <w:rFonts w:hint="eastAsia" w:ascii="宋体" w:hAnsi="宋体"/>
          <w:bCs/>
          <w:sz w:val="24"/>
        </w:rPr>
        <w:t>采购人在中华人民共和国境内使用供应商提供的货物及服务时免受第三方提出的侵犯其专利权或其它知识产权的起诉。如果第三方提出侵权指控，成交供应商应承担由此而引起的一切法律责任和费用。若涉及软件开发等服务类项目知识产权的，知识产权归采购人所有。</w:t>
      </w:r>
    </w:p>
    <w:p w14:paraId="28FB3B1D">
      <w:pPr>
        <w:pStyle w:val="5"/>
        <w:spacing w:before="1" w:line="360" w:lineRule="auto"/>
        <w:ind w:firstLine="482" w:firstLineChars="200"/>
        <w:rPr>
          <w:rFonts w:hint="eastAsia" w:ascii="宋体" w:hAnsi="宋体" w:cs="宋体"/>
          <w:b/>
          <w:bCs/>
          <w:color w:val="000000"/>
          <w:sz w:val="24"/>
          <w:szCs w:val="24"/>
          <w:lang w:val="zh-CN" w:bidi="zh-CN"/>
        </w:rPr>
      </w:pPr>
      <w:r>
        <w:rPr>
          <w:rFonts w:hint="eastAsia" w:ascii="宋体" w:hAnsi="宋体" w:cs="宋体"/>
          <w:b/>
          <w:bCs/>
          <w:color w:val="000000"/>
          <w:sz w:val="24"/>
          <w:szCs w:val="24"/>
          <w:lang w:bidi="zh-CN"/>
        </w:rPr>
        <w:t>十</w:t>
      </w:r>
      <w:r>
        <w:rPr>
          <w:rFonts w:hint="eastAsia" w:ascii="宋体" w:hAnsi="宋体" w:cs="宋体"/>
          <w:b/>
          <w:bCs/>
          <w:color w:val="000000"/>
          <w:sz w:val="24"/>
          <w:szCs w:val="24"/>
          <w:lang w:val="zh-CN" w:bidi="zh-CN"/>
        </w:rPr>
        <w:t>、验收</w:t>
      </w:r>
      <w:bookmarkEnd w:id="10"/>
    </w:p>
    <w:p w14:paraId="2A73B1C2">
      <w:pPr>
        <w:pStyle w:val="5"/>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val="zh-CN" w:bidi="zh-CN"/>
        </w:rPr>
        <w:t>验收：验收须以合同、磋商文件、响应文件、澄清、及国家相应的标准、规范等为依据进行验收。</w:t>
      </w:r>
    </w:p>
    <w:p w14:paraId="10FA5CDC">
      <w:pPr>
        <w:pStyle w:val="5"/>
        <w:spacing w:before="1" w:line="360" w:lineRule="auto"/>
        <w:ind w:firstLine="482" w:firstLineChars="200"/>
        <w:rPr>
          <w:rFonts w:hint="eastAsia" w:ascii="宋体" w:hAnsi="宋体" w:cs="宋体"/>
          <w:b/>
          <w:bCs/>
          <w:color w:val="000000"/>
          <w:sz w:val="24"/>
          <w:szCs w:val="24"/>
          <w:lang w:val="zh-CN" w:bidi="zh-CN"/>
        </w:rPr>
      </w:pPr>
      <w:bookmarkStart w:id="18" w:name="_Toc13541"/>
      <w:r>
        <w:rPr>
          <w:rFonts w:hint="eastAsia" w:ascii="宋体" w:hAnsi="宋体" w:cs="宋体"/>
          <w:b/>
          <w:bCs/>
          <w:color w:val="000000"/>
          <w:sz w:val="24"/>
          <w:szCs w:val="24"/>
          <w:lang w:bidi="zh-CN"/>
        </w:rPr>
        <w:t>十一</w:t>
      </w:r>
      <w:r>
        <w:rPr>
          <w:rFonts w:hint="eastAsia" w:ascii="宋体" w:hAnsi="宋体" w:cs="宋体"/>
          <w:b/>
          <w:bCs/>
          <w:color w:val="000000"/>
          <w:sz w:val="24"/>
          <w:szCs w:val="24"/>
          <w:lang w:val="zh-CN" w:bidi="zh-CN"/>
        </w:rPr>
        <w:t>、合同争议解决的方式</w:t>
      </w:r>
      <w:bookmarkEnd w:id="18"/>
    </w:p>
    <w:p w14:paraId="4C857F2C">
      <w:pPr>
        <w:spacing w:line="360" w:lineRule="auto"/>
        <w:ind w:firstLine="480" w:firstLineChars="200"/>
        <w:textAlignment w:val="baseline"/>
        <w:rPr>
          <w:rStyle w:val="8"/>
          <w:rFonts w:ascii="宋体" w:hAnsi="宋体"/>
          <w:bCs/>
          <w:sz w:val="24"/>
        </w:rPr>
      </w:pPr>
      <w:bookmarkStart w:id="19" w:name="_Toc28994"/>
      <w:r>
        <w:rPr>
          <w:rStyle w:val="8"/>
          <w:rFonts w:ascii="宋体" w:hAnsi="宋体"/>
          <w:bCs/>
          <w:sz w:val="24"/>
        </w:rPr>
        <w:t>1、合同一经签订，不得随意变更、中止或终止。对确需变更、调整或者中止、终止合同的，应按规定履行相应的手续。</w:t>
      </w:r>
    </w:p>
    <w:p w14:paraId="3695A27B">
      <w:pPr>
        <w:spacing w:line="360" w:lineRule="auto"/>
        <w:ind w:firstLine="480" w:firstLineChars="200"/>
        <w:textAlignment w:val="baseline"/>
        <w:rPr>
          <w:rStyle w:val="8"/>
          <w:rFonts w:ascii="宋体" w:hAnsi="宋体"/>
          <w:bCs/>
          <w:sz w:val="24"/>
        </w:rPr>
      </w:pPr>
      <w:r>
        <w:rPr>
          <w:rStyle w:val="8"/>
          <w:rFonts w:ascii="宋体" w:hAnsi="宋体"/>
          <w:bCs/>
          <w:sz w:val="24"/>
        </w:rPr>
        <w:t>2、合同执行中发生争议的，甲、乙双方应协商解决，协商达不成一致时，可向甲方所在地人民法院提请诉讼。</w:t>
      </w:r>
    </w:p>
    <w:p w14:paraId="5F73377C">
      <w:pPr>
        <w:pStyle w:val="5"/>
        <w:spacing w:before="1" w:line="360" w:lineRule="auto"/>
        <w:ind w:firstLine="482" w:firstLineChars="200"/>
        <w:rPr>
          <w:rFonts w:hint="eastAsia" w:ascii="宋体" w:hAnsi="宋体" w:cs="宋体"/>
          <w:b/>
          <w:bCs/>
          <w:color w:val="000000"/>
          <w:sz w:val="24"/>
          <w:szCs w:val="24"/>
          <w:lang w:val="zh-CN" w:bidi="zh-CN"/>
        </w:rPr>
      </w:pPr>
      <w:r>
        <w:rPr>
          <w:rFonts w:hint="eastAsia" w:ascii="宋体" w:hAnsi="宋体" w:cs="宋体"/>
          <w:b/>
          <w:bCs/>
          <w:color w:val="000000"/>
          <w:sz w:val="24"/>
          <w:szCs w:val="24"/>
          <w:lang w:bidi="zh-CN"/>
        </w:rPr>
        <w:t>十二</w:t>
      </w:r>
      <w:r>
        <w:rPr>
          <w:rFonts w:hint="eastAsia" w:ascii="宋体" w:hAnsi="宋体" w:cs="宋体"/>
          <w:b/>
          <w:bCs/>
          <w:color w:val="000000"/>
          <w:sz w:val="24"/>
          <w:szCs w:val="24"/>
          <w:lang w:val="zh-CN" w:bidi="zh-CN"/>
        </w:rPr>
        <w:t>、其他事项</w:t>
      </w:r>
      <w:bookmarkEnd w:id="19"/>
    </w:p>
    <w:p w14:paraId="613A904D">
      <w:pPr>
        <w:pStyle w:val="5"/>
        <w:spacing w:before="1" w:line="360" w:lineRule="auto"/>
        <w:ind w:firstLine="480" w:firstLineChars="200"/>
        <w:rPr>
          <w:rFonts w:hint="eastAsia" w:ascii="宋体" w:hAnsi="宋体" w:cs="宋体"/>
          <w:color w:val="000000"/>
          <w:sz w:val="24"/>
          <w:szCs w:val="24"/>
          <w:lang w:val="zh-CN" w:bidi="zh-CN"/>
        </w:rPr>
      </w:pPr>
      <w:bookmarkStart w:id="20" w:name="_bookmark3"/>
      <w:bookmarkEnd w:id="20"/>
      <w:bookmarkStart w:id="21" w:name="第四章__竞争性磋商内容及服务要求"/>
      <w:bookmarkEnd w:id="21"/>
      <w:r>
        <w:rPr>
          <w:rFonts w:hint="eastAsia" w:ascii="宋体" w:hAnsi="宋体" w:cs="宋体"/>
          <w:color w:val="000000"/>
          <w:sz w:val="24"/>
          <w:szCs w:val="24"/>
          <w:lang w:bidi="zh-CN"/>
        </w:rPr>
        <w:t>1、</w:t>
      </w:r>
      <w:r>
        <w:rPr>
          <w:rFonts w:hint="eastAsia" w:ascii="宋体" w:hAnsi="宋体" w:cs="宋体"/>
          <w:color w:val="000000"/>
          <w:sz w:val="24"/>
          <w:szCs w:val="24"/>
          <w:lang w:val="zh-CN" w:bidi="zh-CN"/>
        </w:rPr>
        <w:t>本合同乙方在任何情况下都不得全部或部分转让其应履行的合同义务，乙方不得将本合同分包给他人。</w:t>
      </w:r>
    </w:p>
    <w:p w14:paraId="7C11719C">
      <w:pPr>
        <w:pStyle w:val="5"/>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bidi="zh-CN"/>
        </w:rPr>
        <w:t>2、</w:t>
      </w:r>
      <w:r>
        <w:rPr>
          <w:rFonts w:hint="eastAsia" w:ascii="宋体" w:hAnsi="宋体" w:cs="宋体"/>
          <w:color w:val="000000"/>
          <w:sz w:val="24"/>
          <w:szCs w:val="24"/>
          <w:lang w:val="zh-CN" w:bidi="zh-CN"/>
        </w:rPr>
        <w:t>在执行本合同的过程中，所有经双方签署确认的文件（包括会议纪要、补充合同、合同修改书、往来信函等）均为本合同的有效组成部分，其生效日期为双方签字盖章或确认之日期。</w:t>
      </w:r>
    </w:p>
    <w:p w14:paraId="6107388D">
      <w:pPr>
        <w:pStyle w:val="5"/>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bidi="zh-CN"/>
        </w:rPr>
        <w:t>3、</w:t>
      </w:r>
      <w:r>
        <w:rPr>
          <w:rFonts w:hint="eastAsia" w:ascii="宋体" w:hAnsi="宋体" w:cs="宋体"/>
          <w:color w:val="000000"/>
          <w:sz w:val="24"/>
          <w:szCs w:val="24"/>
          <w:lang w:val="zh-CN" w:bidi="zh-CN"/>
        </w:rPr>
        <w:t>合同一式</w:t>
      </w:r>
      <w:r>
        <w:rPr>
          <w:rFonts w:hint="eastAsia" w:ascii="宋体" w:hAnsi="宋体" w:cs="宋体"/>
          <w:color w:val="000000"/>
          <w:sz w:val="24"/>
          <w:szCs w:val="24"/>
          <w:lang w:val="en-US" w:bidi="zh-CN"/>
        </w:rPr>
        <w:t>捌</w:t>
      </w:r>
      <w:r>
        <w:rPr>
          <w:rFonts w:hint="eastAsia" w:ascii="宋体" w:hAnsi="宋体" w:cs="宋体"/>
          <w:color w:val="000000"/>
          <w:sz w:val="24"/>
          <w:szCs w:val="24"/>
          <w:lang w:val="zh-CN" w:bidi="zh-CN"/>
        </w:rPr>
        <w:t>份，采购人肆份，中标供应商贰份、招标代理机构壹份；政府采购监管机构备案一份</w:t>
      </w:r>
    </w:p>
    <w:p w14:paraId="62100A44">
      <w:pPr>
        <w:pStyle w:val="5"/>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bidi="zh-CN"/>
        </w:rPr>
        <w:t>4、</w:t>
      </w:r>
      <w:r>
        <w:rPr>
          <w:rFonts w:hint="eastAsia" w:ascii="宋体" w:hAnsi="宋体" w:cs="宋体"/>
          <w:color w:val="000000"/>
          <w:sz w:val="24"/>
          <w:szCs w:val="24"/>
          <w:lang w:val="zh-CN" w:bidi="zh-CN"/>
        </w:rPr>
        <w:t>合同经双方授权代表签字、盖章后生效，生效日期以签字日为准。</w:t>
      </w:r>
    </w:p>
    <w:p w14:paraId="58F4B515">
      <w:pPr>
        <w:pStyle w:val="5"/>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bidi="zh-CN"/>
        </w:rPr>
        <w:t>5、</w:t>
      </w:r>
      <w:r>
        <w:rPr>
          <w:rFonts w:hint="eastAsia" w:ascii="宋体" w:hAnsi="宋体" w:cs="宋体"/>
          <w:color w:val="000000"/>
          <w:sz w:val="24"/>
          <w:szCs w:val="24"/>
          <w:lang w:val="zh-CN" w:bidi="zh-CN"/>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14:paraId="5B887638">
      <w:pPr>
        <w:pStyle w:val="5"/>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bidi="zh-CN"/>
        </w:rPr>
        <w:t>6、</w:t>
      </w:r>
      <w:r>
        <w:rPr>
          <w:rFonts w:hint="eastAsia" w:ascii="宋体" w:hAnsi="宋体" w:cs="宋体"/>
          <w:color w:val="000000"/>
          <w:sz w:val="24"/>
          <w:szCs w:val="24"/>
          <w:lang w:val="zh-CN" w:bidi="zh-CN"/>
        </w:rPr>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响的程度协商决定是否解除合同、或者部分或全部免除履行合同的责任、或者延期履行合同。遭受不可抗力的一方未履行上述义务的，不能免除其违约责任。</w:t>
      </w:r>
    </w:p>
    <w:p w14:paraId="540101EF">
      <w:pPr>
        <w:pStyle w:val="5"/>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bidi="zh-CN"/>
        </w:rPr>
        <w:t>7、</w:t>
      </w:r>
      <w:r>
        <w:rPr>
          <w:rFonts w:hint="eastAsia" w:ascii="宋体" w:hAnsi="宋体" w:cs="宋体"/>
          <w:color w:val="000000"/>
          <w:sz w:val="24"/>
          <w:szCs w:val="24"/>
          <w:lang w:val="zh-CN" w:bidi="zh-CN"/>
        </w:rPr>
        <w:t>未详尽之处双方协商解决。</w:t>
      </w:r>
    </w:p>
    <w:p w14:paraId="5A1A8079">
      <w:pPr>
        <w:rPr>
          <w:rFonts w:hint="eastAsia"/>
          <w:lang w:val="zh-CN"/>
        </w:rPr>
      </w:pP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51"/>
        <w:gridCol w:w="5085"/>
      </w:tblGrid>
      <w:tr w14:paraId="14DF24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4551" w:type="dxa"/>
            <w:noWrap w:val="0"/>
            <w:vAlign w:val="center"/>
          </w:tcPr>
          <w:p w14:paraId="33497A5D">
            <w:pPr>
              <w:rPr>
                <w:rFonts w:hint="eastAsia" w:ascii="宋体" w:hAnsi="宋体" w:eastAsia="宋体" w:cs="宋体"/>
                <w:color w:val="000000"/>
                <w:sz w:val="24"/>
                <w:szCs w:val="24"/>
              </w:rPr>
            </w:pPr>
            <w:r>
              <w:rPr>
                <w:rFonts w:hint="eastAsia" w:ascii="宋体" w:hAnsi="宋体" w:eastAsia="宋体" w:cs="宋体"/>
                <w:color w:val="000000"/>
                <w:sz w:val="24"/>
                <w:szCs w:val="24"/>
              </w:rPr>
              <w:t>甲  方</w:t>
            </w:r>
          </w:p>
        </w:tc>
        <w:tc>
          <w:tcPr>
            <w:tcW w:w="5085" w:type="dxa"/>
            <w:noWrap w:val="0"/>
            <w:vAlign w:val="center"/>
          </w:tcPr>
          <w:p w14:paraId="19D15ECD">
            <w:pPr>
              <w:rPr>
                <w:rFonts w:hint="eastAsia" w:ascii="宋体" w:hAnsi="宋体" w:eastAsia="宋体" w:cs="宋体"/>
                <w:color w:val="000000"/>
                <w:sz w:val="24"/>
                <w:szCs w:val="24"/>
              </w:rPr>
            </w:pPr>
            <w:r>
              <w:rPr>
                <w:rFonts w:hint="eastAsia" w:ascii="宋体" w:hAnsi="宋体" w:eastAsia="宋体" w:cs="宋体"/>
                <w:color w:val="000000"/>
                <w:sz w:val="24"/>
                <w:szCs w:val="24"/>
              </w:rPr>
              <w:t>乙  方</w:t>
            </w:r>
          </w:p>
        </w:tc>
      </w:tr>
      <w:tr w14:paraId="686557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jc w:val="center"/>
        </w:trPr>
        <w:tc>
          <w:tcPr>
            <w:tcW w:w="4551" w:type="dxa"/>
            <w:noWrap w:val="0"/>
            <w:vAlign w:val="center"/>
          </w:tcPr>
          <w:p w14:paraId="52C00FE1">
            <w:pPr>
              <w:rPr>
                <w:rFonts w:hint="eastAsia" w:ascii="宋体" w:hAnsi="宋体" w:eastAsia="宋体" w:cs="宋体"/>
                <w:color w:val="000000"/>
                <w:sz w:val="24"/>
                <w:szCs w:val="24"/>
              </w:rPr>
            </w:pPr>
            <w:r>
              <w:rPr>
                <w:rFonts w:hint="eastAsia" w:ascii="宋体" w:hAnsi="宋体" w:eastAsia="宋体" w:cs="宋体"/>
                <w:color w:val="000000"/>
                <w:sz w:val="24"/>
                <w:szCs w:val="24"/>
              </w:rPr>
              <w:t>（盖章）</w:t>
            </w:r>
          </w:p>
        </w:tc>
        <w:tc>
          <w:tcPr>
            <w:tcW w:w="5085" w:type="dxa"/>
            <w:noWrap w:val="0"/>
            <w:vAlign w:val="center"/>
          </w:tcPr>
          <w:p w14:paraId="1BB63136">
            <w:pPr>
              <w:jc w:val="right"/>
              <w:rPr>
                <w:rFonts w:hint="eastAsia" w:ascii="宋体" w:hAnsi="宋体" w:eastAsia="宋体" w:cs="宋体"/>
                <w:color w:val="FF0000"/>
                <w:sz w:val="24"/>
                <w:szCs w:val="24"/>
              </w:rPr>
            </w:pPr>
            <w:r>
              <w:rPr>
                <w:rFonts w:hint="eastAsia" w:ascii="宋体" w:hAnsi="宋体" w:eastAsia="宋体" w:cs="宋体"/>
                <w:snapToGrid w:val="0"/>
                <w:sz w:val="24"/>
                <w:szCs w:val="24"/>
              </w:rPr>
              <w:t xml:space="preserve">   </w:t>
            </w:r>
            <w:r>
              <w:rPr>
                <w:rFonts w:hint="eastAsia" w:ascii="宋体" w:hAnsi="宋体" w:eastAsia="宋体" w:cs="宋体"/>
                <w:color w:val="000000"/>
                <w:sz w:val="24"/>
                <w:szCs w:val="24"/>
              </w:rPr>
              <w:t>（盖章）</w:t>
            </w:r>
          </w:p>
        </w:tc>
      </w:tr>
      <w:tr w14:paraId="0C4FF5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noWrap w:val="0"/>
            <w:vAlign w:val="center"/>
          </w:tcPr>
          <w:p w14:paraId="62DF4184">
            <w:pPr>
              <w:spacing w:line="360" w:lineRule="auto"/>
              <w:rPr>
                <w:rFonts w:hint="eastAsia" w:ascii="宋体" w:hAnsi="宋体" w:eastAsia="宋体" w:cs="宋体"/>
                <w:sz w:val="24"/>
                <w:szCs w:val="24"/>
              </w:rPr>
            </w:pPr>
            <w:r>
              <w:rPr>
                <w:rFonts w:hint="eastAsia" w:ascii="宋体" w:hAnsi="宋体" w:eastAsia="宋体" w:cs="宋体"/>
                <w:sz w:val="24"/>
                <w:szCs w:val="24"/>
              </w:rPr>
              <w:t>地址：</w:t>
            </w:r>
          </w:p>
        </w:tc>
        <w:tc>
          <w:tcPr>
            <w:tcW w:w="5085" w:type="dxa"/>
            <w:noWrap w:val="0"/>
            <w:vAlign w:val="center"/>
          </w:tcPr>
          <w:p w14:paraId="5D913757">
            <w:pPr>
              <w:spacing w:line="360" w:lineRule="auto"/>
              <w:rPr>
                <w:rFonts w:hint="eastAsia" w:ascii="宋体" w:hAnsi="宋体" w:eastAsia="宋体" w:cs="宋体"/>
                <w:sz w:val="24"/>
                <w:szCs w:val="24"/>
              </w:rPr>
            </w:pPr>
            <w:r>
              <w:rPr>
                <w:rFonts w:hint="eastAsia" w:ascii="宋体" w:hAnsi="宋体" w:eastAsia="宋体" w:cs="宋体"/>
                <w:sz w:val="24"/>
                <w:szCs w:val="24"/>
              </w:rPr>
              <w:t>地址：</w:t>
            </w:r>
          </w:p>
        </w:tc>
      </w:tr>
      <w:tr w14:paraId="04719E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noWrap w:val="0"/>
            <w:vAlign w:val="center"/>
          </w:tcPr>
          <w:p w14:paraId="6B173D54">
            <w:pPr>
              <w:spacing w:line="360" w:lineRule="auto"/>
              <w:rPr>
                <w:rFonts w:hint="eastAsia" w:ascii="宋体" w:hAnsi="宋体" w:eastAsia="宋体" w:cs="宋体"/>
                <w:sz w:val="24"/>
                <w:szCs w:val="24"/>
              </w:rPr>
            </w:pPr>
            <w:r>
              <w:rPr>
                <w:rFonts w:hint="eastAsia" w:ascii="宋体" w:hAnsi="宋体" w:eastAsia="宋体" w:cs="宋体"/>
                <w:sz w:val="24"/>
                <w:szCs w:val="24"/>
              </w:rPr>
              <w:t>邮编：</w:t>
            </w:r>
          </w:p>
        </w:tc>
        <w:tc>
          <w:tcPr>
            <w:tcW w:w="5085" w:type="dxa"/>
            <w:noWrap w:val="0"/>
            <w:vAlign w:val="center"/>
          </w:tcPr>
          <w:p w14:paraId="191211DA">
            <w:pPr>
              <w:spacing w:line="360" w:lineRule="auto"/>
              <w:rPr>
                <w:rFonts w:hint="eastAsia" w:ascii="宋体" w:hAnsi="宋体" w:eastAsia="宋体" w:cs="宋体"/>
                <w:sz w:val="24"/>
                <w:szCs w:val="24"/>
              </w:rPr>
            </w:pPr>
            <w:r>
              <w:rPr>
                <w:rFonts w:hint="eastAsia" w:ascii="宋体" w:hAnsi="宋体" w:eastAsia="宋体" w:cs="宋体"/>
                <w:sz w:val="24"/>
                <w:szCs w:val="24"/>
              </w:rPr>
              <w:t>邮编：</w:t>
            </w:r>
          </w:p>
        </w:tc>
      </w:tr>
      <w:tr w14:paraId="4C2BAC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noWrap w:val="0"/>
            <w:vAlign w:val="center"/>
          </w:tcPr>
          <w:p w14:paraId="6D1F31DD">
            <w:pPr>
              <w:spacing w:line="360" w:lineRule="auto"/>
              <w:rPr>
                <w:rFonts w:hint="eastAsia" w:ascii="宋体" w:hAnsi="宋体" w:eastAsia="宋体" w:cs="宋体"/>
                <w:sz w:val="24"/>
                <w:szCs w:val="24"/>
              </w:rPr>
            </w:pPr>
            <w:r>
              <w:rPr>
                <w:rFonts w:hint="eastAsia" w:ascii="宋体" w:hAnsi="宋体" w:eastAsia="宋体" w:cs="宋体"/>
                <w:sz w:val="24"/>
                <w:szCs w:val="24"/>
              </w:rPr>
              <w:t>法定代表人：</w:t>
            </w:r>
          </w:p>
        </w:tc>
        <w:tc>
          <w:tcPr>
            <w:tcW w:w="5085" w:type="dxa"/>
            <w:noWrap w:val="0"/>
            <w:vAlign w:val="center"/>
          </w:tcPr>
          <w:p w14:paraId="680A1489">
            <w:pPr>
              <w:spacing w:line="360" w:lineRule="auto"/>
              <w:rPr>
                <w:rFonts w:hint="eastAsia" w:ascii="宋体" w:hAnsi="宋体" w:eastAsia="宋体" w:cs="宋体"/>
                <w:sz w:val="24"/>
                <w:szCs w:val="24"/>
              </w:rPr>
            </w:pPr>
            <w:r>
              <w:rPr>
                <w:rFonts w:hint="eastAsia" w:ascii="宋体" w:hAnsi="宋体" w:eastAsia="宋体" w:cs="宋体"/>
                <w:sz w:val="24"/>
                <w:szCs w:val="24"/>
              </w:rPr>
              <w:t>法定代表人：</w:t>
            </w:r>
          </w:p>
        </w:tc>
      </w:tr>
      <w:tr w14:paraId="6D69DD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tcBorders>
            <w:noWrap w:val="0"/>
            <w:vAlign w:val="center"/>
          </w:tcPr>
          <w:p w14:paraId="0251B4D4">
            <w:pPr>
              <w:spacing w:line="360" w:lineRule="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5085" w:type="dxa"/>
            <w:noWrap w:val="0"/>
            <w:vAlign w:val="center"/>
          </w:tcPr>
          <w:p w14:paraId="4C6EEA88">
            <w:pPr>
              <w:spacing w:line="360" w:lineRule="auto"/>
              <w:rPr>
                <w:rFonts w:hint="eastAsia" w:ascii="宋体" w:hAnsi="宋体" w:eastAsia="宋体" w:cs="宋体"/>
                <w:sz w:val="24"/>
                <w:szCs w:val="24"/>
              </w:rPr>
            </w:pPr>
            <w:r>
              <w:rPr>
                <w:rFonts w:hint="eastAsia" w:ascii="宋体" w:hAnsi="宋体" w:eastAsia="宋体" w:cs="宋体"/>
                <w:sz w:val="24"/>
                <w:szCs w:val="24"/>
              </w:rPr>
              <w:t>被授权代表：（签字）</w:t>
            </w:r>
          </w:p>
        </w:tc>
      </w:tr>
      <w:tr w14:paraId="2D9790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noWrap w:val="0"/>
            <w:vAlign w:val="center"/>
          </w:tcPr>
          <w:p w14:paraId="2E0383DB">
            <w:pPr>
              <w:spacing w:line="360" w:lineRule="auto"/>
              <w:rPr>
                <w:rFonts w:hint="eastAsia" w:ascii="宋体" w:hAnsi="宋体" w:eastAsia="宋体" w:cs="宋体"/>
                <w:sz w:val="24"/>
                <w:szCs w:val="24"/>
              </w:rPr>
            </w:pPr>
            <w:r>
              <w:rPr>
                <w:rFonts w:hint="eastAsia" w:ascii="宋体" w:hAnsi="宋体" w:eastAsia="宋体" w:cs="宋体"/>
                <w:sz w:val="24"/>
                <w:szCs w:val="24"/>
              </w:rPr>
              <w:t>电话：</w:t>
            </w:r>
          </w:p>
        </w:tc>
        <w:tc>
          <w:tcPr>
            <w:tcW w:w="5085" w:type="dxa"/>
            <w:noWrap w:val="0"/>
            <w:vAlign w:val="center"/>
          </w:tcPr>
          <w:p w14:paraId="13DF4656">
            <w:pPr>
              <w:spacing w:line="360" w:lineRule="auto"/>
              <w:rPr>
                <w:rFonts w:hint="eastAsia" w:ascii="宋体" w:hAnsi="宋体" w:eastAsia="宋体" w:cs="宋体"/>
                <w:sz w:val="24"/>
                <w:szCs w:val="24"/>
              </w:rPr>
            </w:pPr>
            <w:r>
              <w:rPr>
                <w:rFonts w:hint="eastAsia" w:ascii="宋体" w:hAnsi="宋体" w:eastAsia="宋体" w:cs="宋体"/>
                <w:sz w:val="24"/>
                <w:szCs w:val="24"/>
              </w:rPr>
              <w:t>电话：</w:t>
            </w:r>
          </w:p>
        </w:tc>
      </w:tr>
      <w:tr w14:paraId="51BDB0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noWrap w:val="0"/>
            <w:vAlign w:val="center"/>
          </w:tcPr>
          <w:p w14:paraId="21E4F1D3">
            <w:pPr>
              <w:spacing w:line="360" w:lineRule="auto"/>
              <w:rPr>
                <w:rFonts w:hint="eastAsia" w:ascii="宋体" w:hAnsi="宋体" w:eastAsia="宋体" w:cs="宋体"/>
                <w:sz w:val="24"/>
                <w:szCs w:val="24"/>
              </w:rPr>
            </w:pPr>
            <w:r>
              <w:rPr>
                <w:rFonts w:hint="eastAsia" w:ascii="宋体" w:hAnsi="宋体" w:eastAsia="宋体" w:cs="宋体"/>
                <w:sz w:val="24"/>
                <w:szCs w:val="24"/>
              </w:rPr>
              <w:t>传真：</w:t>
            </w:r>
          </w:p>
        </w:tc>
        <w:tc>
          <w:tcPr>
            <w:tcW w:w="5085" w:type="dxa"/>
            <w:noWrap w:val="0"/>
            <w:vAlign w:val="center"/>
          </w:tcPr>
          <w:p w14:paraId="2159C045">
            <w:pPr>
              <w:spacing w:line="360" w:lineRule="auto"/>
              <w:rPr>
                <w:rFonts w:hint="eastAsia" w:ascii="宋体" w:hAnsi="宋体" w:eastAsia="宋体" w:cs="宋体"/>
                <w:sz w:val="24"/>
                <w:szCs w:val="24"/>
              </w:rPr>
            </w:pPr>
            <w:r>
              <w:rPr>
                <w:rFonts w:hint="eastAsia" w:ascii="宋体" w:hAnsi="宋体" w:eastAsia="宋体" w:cs="宋体"/>
                <w:sz w:val="24"/>
                <w:szCs w:val="24"/>
              </w:rPr>
              <w:t>传真：</w:t>
            </w:r>
          </w:p>
        </w:tc>
      </w:tr>
      <w:tr w14:paraId="797443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noWrap w:val="0"/>
            <w:vAlign w:val="center"/>
          </w:tcPr>
          <w:p w14:paraId="048D0CA2">
            <w:pPr>
              <w:spacing w:line="360" w:lineRule="auto"/>
              <w:rPr>
                <w:rFonts w:hint="eastAsia" w:ascii="宋体" w:hAnsi="宋体" w:eastAsia="宋体" w:cs="宋体"/>
                <w:sz w:val="24"/>
                <w:szCs w:val="24"/>
              </w:rPr>
            </w:pPr>
            <w:r>
              <w:rPr>
                <w:rFonts w:hint="eastAsia" w:ascii="宋体" w:hAnsi="宋体" w:eastAsia="宋体" w:cs="宋体"/>
                <w:sz w:val="24"/>
                <w:szCs w:val="24"/>
              </w:rPr>
              <w:t>开户银行：</w:t>
            </w:r>
          </w:p>
        </w:tc>
        <w:tc>
          <w:tcPr>
            <w:tcW w:w="5085" w:type="dxa"/>
            <w:noWrap w:val="0"/>
            <w:vAlign w:val="center"/>
          </w:tcPr>
          <w:p w14:paraId="4F521A7C">
            <w:pPr>
              <w:spacing w:line="360" w:lineRule="auto"/>
              <w:rPr>
                <w:rFonts w:hint="eastAsia" w:ascii="宋体" w:hAnsi="宋体" w:eastAsia="宋体" w:cs="宋体"/>
                <w:sz w:val="24"/>
                <w:szCs w:val="24"/>
              </w:rPr>
            </w:pPr>
            <w:r>
              <w:rPr>
                <w:rFonts w:hint="eastAsia" w:ascii="宋体" w:hAnsi="宋体" w:eastAsia="宋体" w:cs="宋体"/>
                <w:sz w:val="24"/>
                <w:szCs w:val="24"/>
              </w:rPr>
              <w:t>开户银行：</w:t>
            </w:r>
          </w:p>
        </w:tc>
      </w:tr>
      <w:tr w14:paraId="1F68EE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noWrap w:val="0"/>
            <w:vAlign w:val="center"/>
          </w:tcPr>
          <w:p w14:paraId="06E9417F">
            <w:pPr>
              <w:spacing w:line="360" w:lineRule="auto"/>
              <w:rPr>
                <w:rFonts w:hint="eastAsia" w:ascii="宋体" w:hAnsi="宋体" w:eastAsia="宋体" w:cs="宋体"/>
                <w:sz w:val="24"/>
                <w:szCs w:val="24"/>
              </w:rPr>
            </w:pPr>
            <w:r>
              <w:rPr>
                <w:rFonts w:hint="eastAsia" w:ascii="宋体" w:hAnsi="宋体" w:eastAsia="宋体" w:cs="宋体"/>
                <w:sz w:val="24"/>
                <w:szCs w:val="24"/>
              </w:rPr>
              <w:t>账户名称：</w:t>
            </w:r>
          </w:p>
        </w:tc>
        <w:tc>
          <w:tcPr>
            <w:tcW w:w="5085" w:type="dxa"/>
            <w:tcBorders>
              <w:bottom w:val="single" w:color="auto" w:sz="4" w:space="0"/>
            </w:tcBorders>
            <w:noWrap w:val="0"/>
            <w:vAlign w:val="center"/>
          </w:tcPr>
          <w:p w14:paraId="081E649B">
            <w:pPr>
              <w:spacing w:line="360" w:lineRule="auto"/>
              <w:rPr>
                <w:rFonts w:hint="eastAsia" w:ascii="宋体" w:hAnsi="宋体" w:eastAsia="宋体" w:cs="宋体"/>
                <w:sz w:val="24"/>
                <w:szCs w:val="24"/>
              </w:rPr>
            </w:pPr>
            <w:r>
              <w:rPr>
                <w:rFonts w:hint="eastAsia" w:ascii="宋体" w:hAnsi="宋体" w:eastAsia="宋体" w:cs="宋体"/>
                <w:sz w:val="24"/>
                <w:szCs w:val="24"/>
              </w:rPr>
              <w:t>账户名称：</w:t>
            </w:r>
          </w:p>
        </w:tc>
      </w:tr>
      <w:tr w14:paraId="63EA38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noWrap w:val="0"/>
            <w:vAlign w:val="center"/>
          </w:tcPr>
          <w:p w14:paraId="58933C0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账号: </w:t>
            </w:r>
          </w:p>
        </w:tc>
        <w:tc>
          <w:tcPr>
            <w:tcW w:w="5085" w:type="dxa"/>
            <w:tcBorders>
              <w:top w:val="single" w:color="auto" w:sz="4" w:space="0"/>
              <w:bottom w:val="single" w:color="auto" w:sz="4" w:space="0"/>
            </w:tcBorders>
            <w:noWrap w:val="0"/>
            <w:vAlign w:val="center"/>
          </w:tcPr>
          <w:p w14:paraId="05069600">
            <w:pPr>
              <w:spacing w:line="360" w:lineRule="auto"/>
              <w:rPr>
                <w:rFonts w:hint="eastAsia" w:ascii="宋体" w:hAnsi="宋体" w:eastAsia="宋体" w:cs="宋体"/>
                <w:sz w:val="24"/>
                <w:szCs w:val="24"/>
              </w:rPr>
            </w:pPr>
            <w:r>
              <w:rPr>
                <w:rFonts w:hint="eastAsia" w:ascii="宋体" w:hAnsi="宋体" w:eastAsia="宋体" w:cs="宋体"/>
                <w:sz w:val="24"/>
                <w:szCs w:val="24"/>
              </w:rPr>
              <w:t>账号:</w:t>
            </w:r>
          </w:p>
        </w:tc>
      </w:tr>
    </w:tbl>
    <w:p w14:paraId="0D7BC4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191DC0"/>
    <w:rsid w:val="29CD2A01"/>
    <w:rsid w:val="3D34736D"/>
    <w:rsid w:val="451F7553"/>
    <w:rsid w:val="5C5058D6"/>
    <w:rsid w:val="6A6F64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qFormat/>
    <w:uiPriority w:val="0"/>
    <w:pPr>
      <w:ind w:left="630"/>
      <w:jc w:val="left"/>
    </w:pPr>
    <w:rPr>
      <w:rFonts w:ascii="Calibri" w:hAnsi="Calibri" w:eastAsia="宋体" w:cs="Times New Roman"/>
      <w:sz w:val="18"/>
      <w:szCs w:val="18"/>
    </w:rPr>
  </w:style>
  <w:style w:type="paragraph" w:styleId="4">
    <w:name w:val="annotation text"/>
    <w:basedOn w:val="1"/>
    <w:qFormat/>
    <w:uiPriority w:val="0"/>
    <w:pPr>
      <w:jc w:val="left"/>
    </w:pPr>
  </w:style>
  <w:style w:type="paragraph" w:styleId="5">
    <w:name w:val="Body Text"/>
    <w:basedOn w:val="1"/>
    <w:next w:val="1"/>
    <w:qFormat/>
    <w:uiPriority w:val="99"/>
    <w:rPr>
      <w:rFonts w:ascii="Calibri" w:hAnsi="Calibri"/>
      <w:kern w:val="0"/>
      <w:sz w:val="20"/>
      <w:szCs w:val="20"/>
    </w:rPr>
  </w:style>
  <w:style w:type="character" w:customStyle="1" w:styleId="8">
    <w:name w:val="NormalCharacter"/>
    <w:qFormat/>
    <w:uiPriority w:val="0"/>
    <w:rPr>
      <w:kern w:val="2"/>
      <w:sz w:val="21"/>
      <w:szCs w:val="22"/>
      <w:lang w:val="en-US" w:eastAsia="zh-CN" w:bidi="ar-SA"/>
    </w:rPr>
  </w:style>
  <w:style w:type="paragraph" w:styleId="9">
    <w:name w:val="List Paragraph"/>
    <w:basedOn w:val="1"/>
    <w:qFormat/>
    <w:uiPriority w:val="34"/>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2049</Words>
  <Characters>2081</Characters>
  <Lines>0</Lines>
  <Paragraphs>0</Paragraphs>
  <TotalTime>0</TotalTime>
  <ScaleCrop>false</ScaleCrop>
  <LinksUpToDate>false</LinksUpToDate>
  <CharactersWithSpaces>2115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2025-04-27T06:03:00Z</dcterms:created>
  <dc:creator>Administrator</dc:creator>
  <cp:lastModifiedBy>趁早</cp:lastModifiedBy>
  <dcterms:modified xsi:type="dcterms:W3CDTF">2025-05-13T09:09:15Z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C40F515FB370497F82AE818F83C8EC9E_12</vt:lpwstr>
  </property>
</Properties>
</file>