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版本号：TZZB-Z-2025025C.1B120250509001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警务通购置项目(二次)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TZZB-Z-2025025C.1B1</w:t>
      </w:r>
      <w:r>
        <w:br/>
      </w:r>
      <w:r>
        <w:br/>
      </w:r>
      <w:r>
        <w:br/>
      </w:r>
    </w:p>
    <w:p>
      <w:pPr>
        <w:pStyle w:val="null3"/>
        <w:jc w:val="center"/>
        <w:outlineLvl w:val="2"/>
      </w:pPr>
      <w:r>
        <w:rPr>
          <w:rFonts w:ascii="仿宋_GB2312" w:hAnsi="仿宋_GB2312" w:cs="仿宋_GB2312" w:eastAsia="仿宋_GB2312"/>
          <w:sz w:val="28"/>
          <w:b/>
        </w:rPr>
        <w:t>陕西省眉县强制隔离戒毒所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陕西省眉县强制隔离戒毒所</w:t>
      </w:r>
      <w:r>
        <w:rPr>
          <w:rFonts w:ascii="仿宋_GB2312" w:hAnsi="仿宋_GB2312" w:cs="仿宋_GB2312" w:eastAsia="仿宋_GB2312"/>
        </w:rPr>
        <w:t>委托，拟对</w:t>
      </w:r>
      <w:r>
        <w:rPr>
          <w:rFonts w:ascii="仿宋_GB2312" w:hAnsi="仿宋_GB2312" w:cs="仿宋_GB2312" w:eastAsia="仿宋_GB2312"/>
        </w:rPr>
        <w:t>警务通购置项目(二次)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TZZB-Z-2025025C.1B1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警务通购置项目(二次)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陕西省眉县强制隔离戒毒所警务通购置项目，具体详见第三章。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3、基本资格条件承诺函：根据《陕西省财政厅关于进一步优化政府采购营商环境有关事项的通知》（陕财办采〔2023〕4号）文件要求，本项目对《中华人民共和国政府采购法实施条例》第十七条第一款第（二）项、第（三）项、第（四）项要求提供的有关材料进行简化。投标人参与本项目只需以书面形式提供规定格式的《基本资格条件承诺函》。投标人应对承诺内容的真实性、合法性、有效性负责。经调查核实为虚假承诺的，视同为“提供虚假材料谋取中标、成交”的违法行为，依照《中华人民共和国政府采购法》等法律法规追究相应责任。 不提供《基本资格条件承诺函》的投标人需提交如下资格证明文件： ①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 ②提供自2024年2月1日以来已缴存的任意1个月的社会保障资金缴存单据或社保机构开具的社会保险参保缴费情况证明；依法不需要缴纳社会保障资金的供应商应提供相关证明文件； ③提供自2024年2月1日以来已缴纳的任意1个月的依法缴纳税收的相关凭据(时间以税款所属日期为准)，凭据应有税务机关或代收机关的公章或业务专用章；依法免税或无须缴纳税收的供应商，应提供相应证明文件； ④具有履行合同所必需的设备和专业技术能力的书面承诺，加盖供应商公章（格式自拟）； ⑤提供参加政府采购活动前三年内在经营活动中没有重大违法记录的书面声明，加盖供应商公章（格式自拟）； ⑥投标人不得为“信用中国”网站(http://www.cre ditchina.gov.cn)列入“失信被执行人（页面跳转至“中国执行信息公开网”http://zxgk.court. gov.cn/shixin/）、重大税收违法失信主体、政府采购严重违法失信行为记录名单”的投标人； 不得为中国政府采购网(http://www.ccgp.gov. cn)“政府采购严重违法失信行为记录名单”中的投标人。 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陕西省眉县强制隔离戒毒所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陕西省眉县首善镇第五村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722312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0917-5613147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号）及国家发展改革委《关于降低部分建设项目收费标准规范收费行为等有关问题的通知》（发改价格[2011]534号）规定的标准计取（以成交金额结算）。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陕西省眉县强制隔离戒毒所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陕西省眉县强制隔离戒毒所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陕西省眉县强制隔离戒毒所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陕西省眉县强制隔离戒毒所警务通购置项目，采购数量：114台。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741,000.00</w:t>
      </w:r>
    </w:p>
    <w:p>
      <w:pPr>
        <w:pStyle w:val="null3"/>
      </w:pPr>
      <w:r>
        <w:rPr>
          <w:rFonts w:ascii="仿宋_GB2312" w:hAnsi="仿宋_GB2312" w:cs="仿宋_GB2312" w:eastAsia="仿宋_GB2312"/>
        </w:rPr>
        <w:t>采购包最高限价（元）: 741,000.00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警务通购置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标的名称：警务通购置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运行内存不小于</w:t>
            </w:r>
            <w:r>
              <w:rPr>
                <w:rFonts w:ascii="仿宋_GB2312" w:hAnsi="仿宋_GB2312" w:cs="仿宋_GB2312" w:eastAsia="仿宋_GB2312"/>
                <w:sz w:val="24"/>
                <w:color w:val="000000"/>
              </w:rPr>
              <w:t>12G，机身存储不小于512G。</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双系统隔离：</w:t>
            </w:r>
            <w:r>
              <w:br/>
            </w:r>
            <w:r>
              <w:rPr>
                <w:rFonts w:ascii="仿宋_GB2312" w:hAnsi="仿宋_GB2312" w:cs="仿宋_GB2312" w:eastAsia="仿宋_GB2312"/>
                <w:sz w:val="24"/>
                <w:color w:val="000000"/>
              </w:rPr>
              <w:t>1）两个操作系统运行在不同的ROM空间，系统文件独立。</w:t>
            </w:r>
            <w:r>
              <w:br/>
            </w:r>
            <w:r>
              <w:rPr>
                <w:rFonts w:ascii="仿宋_GB2312" w:hAnsi="仿宋_GB2312" w:cs="仿宋_GB2312" w:eastAsia="仿宋_GB2312"/>
                <w:sz w:val="24"/>
                <w:color w:val="000000"/>
              </w:rPr>
              <w:t>2）通话记录、通讯录、图片、视频以及其他信息不能相互访问。</w:t>
            </w:r>
            <w:r>
              <w:br/>
            </w:r>
            <w:r>
              <w:rPr>
                <w:rFonts w:ascii="仿宋_GB2312" w:hAnsi="仿宋_GB2312" w:cs="仿宋_GB2312" w:eastAsia="仿宋_GB2312"/>
                <w:sz w:val="24"/>
                <w:color w:val="000000"/>
              </w:rPr>
              <w:t>3）两个操作系统间支持一键快速切换、指纹切换、NFC感应切换。</w:t>
            </w:r>
            <w:r>
              <w:br/>
            </w:r>
            <w:r>
              <w:rPr>
                <w:rFonts w:ascii="仿宋_GB2312" w:hAnsi="仿宋_GB2312" w:cs="仿宋_GB2312" w:eastAsia="仿宋_GB2312"/>
                <w:sz w:val="24"/>
                <w:color w:val="000000"/>
              </w:rPr>
              <w:t>4）某一个系统瘫痪不会影响另一个系统的运行。</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优先国产化</w:t>
            </w:r>
            <w:r>
              <w:rPr>
                <w:rFonts w:ascii="仿宋_GB2312" w:hAnsi="仿宋_GB2312" w:cs="仿宋_GB2312" w:eastAsia="仿宋_GB2312"/>
                <w:sz w:val="24"/>
                <w:color w:val="000000"/>
              </w:rPr>
              <w:t>CPU</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8核</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00"/>
              </w:rPr>
              <w:t>操作系统要求：优先国产化系统，兼容</w:t>
            </w:r>
            <w:r>
              <w:rPr>
                <w:rFonts w:ascii="仿宋_GB2312" w:hAnsi="仿宋_GB2312" w:cs="仿宋_GB2312" w:eastAsia="仿宋_GB2312"/>
                <w:sz w:val="24"/>
                <w:color w:val="000000"/>
              </w:rPr>
              <w:t>Android11.0操作系统及以上；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网络制式要求：</w:t>
            </w:r>
            <w:r>
              <w:br/>
            </w:r>
            <w:r>
              <w:rPr>
                <w:rFonts w:ascii="仿宋_GB2312" w:hAnsi="仿宋_GB2312" w:cs="仿宋_GB2312" w:eastAsia="仿宋_GB2312"/>
                <w:sz w:val="24"/>
                <w:color w:val="000000"/>
              </w:rPr>
              <w:t>5G网络制式：移动5G（NR）/联通5G（NR）/电信5G（NR)。</w:t>
            </w:r>
            <w:r>
              <w:br/>
            </w:r>
            <w:r>
              <w:rPr>
                <w:rFonts w:ascii="仿宋_GB2312" w:hAnsi="仿宋_GB2312" w:cs="仿宋_GB2312" w:eastAsia="仿宋_GB2312"/>
                <w:sz w:val="24"/>
                <w:color w:val="000000"/>
              </w:rPr>
              <w:t>4G网络制式：移动/联通/电信4G主副卡 支持 TD-LTE/LTE FDD。</w:t>
            </w:r>
          </w:p>
          <w:p>
            <w:pPr>
              <w:pStyle w:val="null3"/>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color w:val="000000"/>
              </w:rPr>
              <w:t>电池容量不低于</w:t>
            </w:r>
            <w:r>
              <w:rPr>
                <w:rFonts w:ascii="仿宋_GB2312" w:hAnsi="仿宋_GB2312" w:cs="仿宋_GB2312" w:eastAsia="仿宋_GB2312"/>
                <w:sz w:val="24"/>
                <w:color w:val="000000"/>
              </w:rPr>
              <w:t>4750</w:t>
            </w:r>
            <w:r>
              <w:rPr>
                <w:rFonts w:ascii="仿宋_GB2312" w:hAnsi="仿宋_GB2312" w:cs="仿宋_GB2312" w:eastAsia="仿宋_GB2312"/>
                <w:sz w:val="24"/>
                <w:color w:val="000000"/>
              </w:rPr>
              <w:t>mAh，支持不低于100W有线快充。支持防尘抗水。</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color w:val="000000"/>
              </w:rPr>
              <w:t>提供《公安部安全与警用电子产品质量检测中心》检测报告。</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color w:val="000000"/>
              </w:rPr>
              <w:t>针对该产品，提供厂商对项目授权。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color w:val="000000"/>
              </w:rPr>
              <w:t>屏幕材质：</w:t>
            </w:r>
            <w:r>
              <w:rPr>
                <w:rFonts w:ascii="仿宋_GB2312" w:hAnsi="仿宋_GB2312" w:cs="仿宋_GB2312" w:eastAsia="仿宋_GB2312"/>
                <w:sz w:val="24"/>
                <w:color w:val="000000"/>
              </w:rPr>
              <w:t>OLED</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color w:val="000000"/>
              </w:rPr>
              <w:t>屏幕要求：</w:t>
            </w:r>
            <w:r>
              <w:rPr>
                <w:rFonts w:ascii="仿宋_GB2312" w:hAnsi="仿宋_GB2312" w:cs="仿宋_GB2312" w:eastAsia="仿宋_GB2312"/>
                <w:sz w:val="24"/>
                <w:color w:val="000000"/>
              </w:rPr>
              <w:t>(1)屏幕尺寸≥6.</w:t>
            </w:r>
            <w:r>
              <w:rPr>
                <w:rFonts w:ascii="仿宋_GB2312" w:hAnsi="仿宋_GB2312" w:cs="仿宋_GB2312" w:eastAsia="仿宋_GB2312"/>
                <w:sz w:val="24"/>
                <w:color w:val="000000"/>
              </w:rPr>
              <w:t>69</w:t>
            </w:r>
            <w:r>
              <w:rPr>
                <w:rFonts w:ascii="仿宋_GB2312" w:hAnsi="仿宋_GB2312" w:cs="仿宋_GB2312" w:eastAsia="仿宋_GB2312"/>
                <w:sz w:val="24"/>
                <w:color w:val="000000"/>
              </w:rPr>
              <w:t>英寸。（</w:t>
            </w:r>
            <w:r>
              <w:rPr>
                <w:rFonts w:ascii="仿宋_GB2312" w:hAnsi="仿宋_GB2312" w:cs="仿宋_GB2312" w:eastAsia="仿宋_GB2312"/>
                <w:sz w:val="24"/>
                <w:color w:val="000000"/>
              </w:rPr>
              <w:t>2）分辨率不低于2776× 1224</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color w:val="000000"/>
              </w:rPr>
              <w:t>拍摄功能要求：（</w:t>
            </w:r>
            <w:r>
              <w:rPr>
                <w:rFonts w:ascii="仿宋_GB2312" w:hAnsi="仿宋_GB2312" w:cs="仿宋_GB2312" w:eastAsia="仿宋_GB2312"/>
                <w:sz w:val="24"/>
                <w:color w:val="000000"/>
              </w:rPr>
              <w:t>1）主摄像头：后置摄像头不低于三摄，主摄不低于</w:t>
            </w:r>
            <w:r>
              <w:rPr>
                <w:rFonts w:ascii="仿宋_GB2312" w:hAnsi="仿宋_GB2312" w:cs="仿宋_GB2312" w:eastAsia="仿宋_GB2312"/>
                <w:sz w:val="24"/>
                <w:color w:val="000000"/>
              </w:rPr>
              <w:t>500</w:t>
            </w:r>
            <w:r>
              <w:rPr>
                <w:rFonts w:ascii="仿宋_GB2312" w:hAnsi="仿宋_GB2312" w:cs="仿宋_GB2312" w:eastAsia="仿宋_GB2312"/>
                <w:sz w:val="24"/>
                <w:color w:val="000000"/>
              </w:rPr>
              <w:t xml:space="preserve">0万像素。（2）副摄像头：前置摄像头不低于1个，其中主摄像头不低于 </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万像素</w:t>
            </w:r>
            <w:r>
              <w:rPr>
                <w:rFonts w:ascii="仿宋_GB2312" w:hAnsi="仿宋_GB2312" w:cs="仿宋_GB2312" w:eastAsia="仿宋_GB2312"/>
                <w:sz w:val="24"/>
                <w:color w:val="000000"/>
              </w:rPr>
              <w:t>,800万像素超广角。</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color w:val="000000"/>
              </w:rPr>
              <w:t>传输功能要求：</w:t>
            </w:r>
            <w:r>
              <w:rPr>
                <w:rFonts w:ascii="仿宋_GB2312" w:hAnsi="仿宋_GB2312" w:cs="仿宋_GB2312" w:eastAsia="仿宋_GB2312"/>
                <w:sz w:val="24"/>
                <w:color w:val="000000"/>
              </w:rPr>
              <w:t>NFC:支持读卡器模式、卡模拟模式。定位：支持单北斗定位功能。WLAN:支持802.11 a/b/g/n/ac/ax ；</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after="165"/>
              <w:jc w:val="both"/>
            </w:pPr>
            <w:r>
              <w:rPr>
                <w:rFonts w:ascii="仿宋_GB2312" w:hAnsi="仿宋_GB2312" w:cs="仿宋_GB2312" w:eastAsia="仿宋_GB2312"/>
                <w:sz w:val="24"/>
                <w:color w:val="000000"/>
              </w:rPr>
              <w:t>支持对接场所门禁系统；</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spacing w:after="165"/>
              <w:jc w:val="both"/>
            </w:pPr>
            <w:r>
              <w:rPr>
                <w:rFonts w:ascii="仿宋_GB2312" w:hAnsi="仿宋_GB2312" w:cs="仿宋_GB2312" w:eastAsia="仿宋_GB2312"/>
                <w:sz w:val="24"/>
                <w:color w:val="000000"/>
              </w:rPr>
              <w:t>移动警务平台对接</w:t>
            </w:r>
            <w:r>
              <w:br/>
            </w:r>
            <w:r>
              <w:rPr>
                <w:rFonts w:ascii="仿宋_GB2312" w:hAnsi="仿宋_GB2312" w:cs="仿宋_GB2312" w:eastAsia="仿宋_GB2312"/>
                <w:sz w:val="24"/>
                <w:color w:val="000000"/>
              </w:rPr>
              <w:t>无缝安全对接陕西省戒毒管理局移动警务平台，实现一线民警移动执法办案、现场业务办理、远程异地办公等移动业务的需求，提高机关应急指挥、快速反应、高效服务的能力。</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陕西省眉县强制隔离戒毒所指定地点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1.质保期：1年。 2.质保期起始时间为交付之日。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因执行本合同所发生的或与本合同有关的一切争议,双方应通过友好协商解决。如果协商开始后六十（60）天还不能解决，双方可向采购人所在地有管辖权的人民法院起诉。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要求，本项目对《中华人民共和国政府采购法实施条例》第十七条第一款第（二）项、第（三）项、第（四）项要求提供的有关材料进行简化。投标人参与本项目只需以书面形式提供规定格式的《基本资格条件承诺函》。投标人应对承诺内容的真实性、合法性、有效性负责。经调查核实为虚假承诺的，视同为“提供虚假材料谋取中标、成交”的违法行为，依照《中华人民共和国政府采购法》等法律法规追究相应责任。 不提供《基本资格条件承诺函》的投标人需提交如下资格证明文件： ①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 ②提供自2024年2月1日以来已缴存的任意1个月的社会保障资金缴存单据或社保机构开具的社会保险参保缴费情况证明；依法不需要缴纳社会保障资金的供应商应提供相关证明文件； ③提供自2024年2月1日以来已缴纳的任意1个月的依法缴纳税收的相关凭据(时间以税款所属日期为准)，凭据应有税务机关或代收机关的公章或业务专用章；依法免税或无须缴纳税收的供应商，应提供相应证明文件； ④具有履行合同所必需的设备和专业技术能力的书面承诺，加盖供应商公章（格式自拟）； ⑤提供参加政府采购活动前三年内在经营活动中没有重大违法记录的书面声明，加盖供应商公章（格式自拟）； ⑥投标人不得为“信用中国”网站(http://www.cre ditchina.gov.cn)列入“失信被执行人（页面跳转至“中国执行信息公开网”http://zxgk.court. gov.cn/shixin/）、重大税收违法失信主体、政府采购严重违法失信行为记录名单”的投标人； 不得为中国政府采购网(http://www.ccgp.gov. cn)“政府采购严重违法失信行为记录名单”中的投标人。 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投标方案 中小企业声明函 商务应答表 投标人认为有必要说明、阐述的事项或其他材料 投标人应提交的相关资格证明材料 业绩一览表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 答。</w:t>
            </w:r>
          </w:p>
        </w:tc>
        <w:tc>
          <w:tcPr>
            <w:tcW w:type="dxa" w:w="1661"/>
          </w:tcPr>
          <w:p>
            <w:pPr>
              <w:pStyle w:val="null3"/>
            </w:pPr>
            <w:r>
              <w:rPr>
                <w:rFonts w:ascii="仿宋_GB2312" w:hAnsi="仿宋_GB2312" w:cs="仿宋_GB2312" w:eastAsia="仿宋_GB2312"/>
              </w:rPr>
              <w:t>开标一览表 投标方案 中小企业声明函 商务应答表 投标人认为有必要说明、阐述的事项或其他材料 投标人应提交的相关资格证明材料 业绩一览表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投标设备或产品技术参数清楚、明确，满足或优于招标文件要求，技术资料齐全（投标人需提供包括但不限于实物照片或说明书或产品彩页或技术白皮书或检测报告等技术证明材料作为评审依据，未提供不得分），完全满足技术参数要求，得15分。 若任意一项技术参数不满足招标文件要求，每负偏离一项扣1分（未按要求提供与参数相对应的证明材料视为该项负偏离，按负偏离扣除相应分值），扣完为止。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投标人对本项目的实施方案（包括但不限于①供货组织方案②运输及派送③安装调试④进度保证措施⑤人员配备）进行描述。 以上内容完整、不存在瑕疵，得15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投标人对本项目所投产品的①环保性、②耐用性、③安全性、④使用性能等方面进行描述。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投标人对本项目的①拟派项目人员组成、②人员岗位职责、③人员工作经验等进行描述。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投标人对本项目的培训方案（包括但不限于本次项目工作的①培训方法、②培训时间、③培训目的及内容等）进行描述。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投标人对本项目的售后方案（包括但不限于①售后服务承诺、②本地化售后服务网点的设定、③售后服务人员、④售后响应时限、⑤售后服务流程等）进行描述。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针对本项目实际情况，在项目过程中可能出现的突发事件，提供详细的应急预案措施和解决方案，包含但不限于受理方法、处理流程、响应时间等内容。 1.方案完整、全面细致、科学合理，能够满足项目实际需求，得3-4分； 2.方案较完整、全面细致、科学合理，较能满足项目实际需求，得2-3分； 3.方案基本完整、全面细致、科学合理，基本能满足项目实际需求，得1-2分；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投标人提供2022年2月1日至今具有类似项目业绩合同复印件并加盖投标单位公章（以合同签订时间为准）作为证明文件。每提供一个类似业绩得2分，满分6分。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投标报价得分=(评标基准价／投标报价)×价格权值×100 ；计算分数时四舍五入取小数点后两位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详见附件：投标人认为有必要说明、阐述的事项或其他材料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