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版本号：GR25-TP-020.1B120250509001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互感器校验仪检定装置(二次)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GR25-TP-020.1B1</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互感器校验仪检定装置(二次)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GR25-TP-020.1B1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互感器校验仪检定装置(二次)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本项目陕西省计量科学研究院为互感器校验仪检定装置采购项目（二次）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采购包1（互感器校验仪检定装置采购项目）：属于专门面向中小企业采购。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货物类收费标准收取（低于5000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陕西省计量科学研究院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伟江项目管理咨询有限公司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采购互感器校验仪检定装置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互感器校验仪检定装置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主要技术</w:t>
            </w:r>
            <w:r>
              <w:rPr>
                <w:rFonts w:ascii="仿宋_GB2312" w:hAnsi="仿宋_GB2312" w:cs="仿宋_GB2312" w:eastAsia="仿宋_GB2312"/>
                <w:sz w:val="21"/>
              </w:rPr>
              <w:t>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测量范围：</w:t>
            </w:r>
            <w:r>
              <w:rPr>
                <w:rFonts w:ascii="仿宋_GB2312" w:hAnsi="仿宋_GB2312" w:cs="仿宋_GB2312" w:eastAsia="仿宋_GB2312"/>
                <w:sz w:val="21"/>
              </w:rPr>
              <w:t>比值差</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0.05</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；相位差</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最大允许误差：</w:t>
            </w:r>
            <w:r>
              <w:rPr>
                <w:rFonts w:ascii="仿宋_GB2312" w:hAnsi="仿宋_GB2312" w:cs="仿宋_GB2312" w:eastAsia="仿宋_GB2312"/>
                <w:sz w:val="21"/>
              </w:rPr>
              <w:t>±0.2%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具有百分表指示功能；</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提供国家级计量技术机构有效溯源证书。</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）主要功能要求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电流比例回路、电压比例回路、</w:t>
            </w:r>
            <w:r>
              <w:rPr>
                <w:rFonts w:ascii="仿宋_GB2312" w:hAnsi="仿宋_GB2312" w:cs="仿宋_GB2312" w:eastAsia="仿宋_GB2312"/>
                <w:sz w:val="21"/>
              </w:rPr>
              <w:t>谐波抑制测试功能；</w:t>
            </w:r>
          </w:p>
          <w:p>
            <w:pPr>
              <w:pStyle w:val="null3"/>
              <w:spacing w:after="1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能输出</w:t>
            </w:r>
            <w:r>
              <w:rPr>
                <w:rFonts w:ascii="仿宋_GB2312" w:hAnsi="仿宋_GB2312" w:cs="仿宋_GB2312" w:eastAsia="仿宋_GB2312"/>
                <w:sz w:val="21"/>
              </w:rPr>
              <w:t>IEC61850-9-2LE的数字网络报文，量值等于标准输出信号与微差源信号之和，支持同步信号的输入与输出模式，类型至少包括</w:t>
            </w:r>
            <w:r>
              <w:rPr>
                <w:rFonts w:ascii="仿宋_GB2312" w:hAnsi="仿宋_GB2312" w:cs="仿宋_GB2312" w:eastAsia="仿宋_GB2312"/>
                <w:sz w:val="21"/>
              </w:rPr>
              <w:t>pps</w:t>
            </w:r>
            <w:r>
              <w:rPr>
                <w:rFonts w:ascii="仿宋_GB2312" w:hAnsi="仿宋_GB2312" w:cs="仿宋_GB2312" w:eastAsia="仿宋_GB2312"/>
                <w:sz w:val="21"/>
              </w:rPr>
              <w:t>（秒脉冲）和</w:t>
            </w:r>
            <w:r>
              <w:rPr>
                <w:rFonts w:ascii="仿宋_GB2312" w:hAnsi="仿宋_GB2312" w:cs="仿宋_GB2312" w:eastAsia="仿宋_GB2312"/>
                <w:sz w:val="21"/>
              </w:rPr>
              <w:t>IRIG-B</w:t>
            </w:r>
            <w:r>
              <w:rPr>
                <w:rFonts w:ascii="仿宋_GB2312" w:hAnsi="仿宋_GB2312" w:cs="仿宋_GB2312" w:eastAsia="仿宋_GB2312"/>
                <w:sz w:val="21"/>
              </w:rPr>
              <w:t>码，分为电同步和光同步（</w:t>
            </w:r>
            <w:r>
              <w:rPr>
                <w:rFonts w:ascii="仿宋_GB2312" w:hAnsi="仿宋_GB2312" w:cs="仿宋_GB2312" w:eastAsia="仿宋_GB2312"/>
                <w:sz w:val="21"/>
              </w:rPr>
              <w:t>ST接头</w:t>
            </w:r>
            <w:r>
              <w:rPr>
                <w:rFonts w:ascii="仿宋_GB2312" w:hAnsi="仿宋_GB2312" w:cs="仿宋_GB2312" w:eastAsia="仿宋_GB2312"/>
                <w:sz w:val="21"/>
              </w:rPr>
              <w:t>）两类，支持同步条件下的电子式互感器校验仪校准。</w:t>
            </w:r>
          </w:p>
          <w:p>
            <w:pPr>
              <w:pStyle w:val="null3"/>
              <w:spacing w:after="120"/>
              <w:jc w:val="both"/>
            </w:pPr>
            <w:r>
              <w:rPr>
                <w:rFonts w:ascii="仿宋_GB2312" w:hAnsi="仿宋_GB2312" w:cs="仿宋_GB2312" w:eastAsia="仿宋_GB2312"/>
                <w:sz w:val="21"/>
              </w:rPr>
              <w:t>3.能输出带额定时延的IEC61850-9-2LE的数字网络报文，量值等于标准输出信号与微差源信号之和，支持非同步条件下的电子式互感器校验仪校准。</w:t>
            </w:r>
          </w:p>
          <w:p>
            <w:pPr>
              <w:pStyle w:val="null3"/>
              <w:jc w:val="both"/>
            </w:pPr>
            <w:r>
              <w:rPr>
                <w:rFonts w:ascii="仿宋_GB2312" w:hAnsi="仿宋_GB2312" w:cs="仿宋_GB2312" w:eastAsia="仿宋_GB2312"/>
                <w:sz w:val="21"/>
              </w:rPr>
              <w:t>4.能输出符合IEC60044-8规范的FT3格式采样值报文</w:t>
            </w:r>
            <w:r>
              <w:rPr>
                <w:rFonts w:ascii="仿宋_GB2312" w:hAnsi="仿宋_GB2312" w:cs="仿宋_GB2312" w:eastAsia="仿宋_GB2312"/>
                <w:sz w:val="21"/>
              </w:rPr>
              <w:t>，</w:t>
            </w:r>
            <w:r>
              <w:rPr>
                <w:rFonts w:ascii="仿宋_GB2312" w:hAnsi="仿宋_GB2312" w:cs="仿宋_GB2312" w:eastAsia="仿宋_GB2312"/>
                <w:sz w:val="21"/>
              </w:rPr>
              <w:t>波特率（编码后时钟频率）：</w:t>
            </w:r>
            <w:r>
              <w:rPr>
                <w:rFonts w:ascii="仿宋_GB2312" w:hAnsi="仿宋_GB2312" w:cs="仿宋_GB2312" w:eastAsia="仿宋_GB2312"/>
                <w:sz w:val="21"/>
              </w:rPr>
              <w:t>5M</w:t>
            </w:r>
            <w:r>
              <w:rPr>
                <w:rFonts w:ascii="仿宋_GB2312" w:hAnsi="仿宋_GB2312" w:cs="仿宋_GB2312" w:eastAsia="仿宋_GB2312"/>
                <w:sz w:val="21"/>
              </w:rPr>
              <w:t>或</w:t>
            </w:r>
            <w:r>
              <w:rPr>
                <w:rFonts w:ascii="仿宋_GB2312" w:hAnsi="仿宋_GB2312" w:cs="仿宋_GB2312" w:eastAsia="仿宋_GB2312"/>
                <w:sz w:val="21"/>
              </w:rPr>
              <w:t>10M；采样率：</w:t>
            </w:r>
            <w:r>
              <w:rPr>
                <w:rFonts w:ascii="仿宋_GB2312" w:hAnsi="仿宋_GB2312" w:cs="仿宋_GB2312" w:eastAsia="仿宋_GB2312"/>
                <w:sz w:val="21"/>
              </w:rPr>
              <w:t>4kHz</w:t>
            </w:r>
            <w:r>
              <w:rPr>
                <w:rFonts w:ascii="仿宋_GB2312" w:hAnsi="仿宋_GB2312" w:cs="仿宋_GB2312" w:eastAsia="仿宋_GB2312"/>
                <w:sz w:val="21"/>
              </w:rPr>
              <w:t>；</w:t>
            </w:r>
            <w:r>
              <w:rPr>
                <w:rFonts w:ascii="仿宋_GB2312" w:hAnsi="仿宋_GB2312" w:cs="仿宋_GB2312" w:eastAsia="仿宋_GB2312"/>
                <w:sz w:val="21"/>
              </w:rPr>
              <w:t>ST接头；850nm波长</w:t>
            </w:r>
            <w:r>
              <w:rPr>
                <w:rFonts w:ascii="仿宋_GB2312" w:hAnsi="仿宋_GB2312" w:cs="仿宋_GB2312" w:eastAsia="仿宋_GB2312"/>
                <w:sz w:val="21"/>
              </w:rPr>
              <w:t>。</w:t>
            </w:r>
          </w:p>
          <w:p>
            <w:pPr>
              <w:pStyle w:val="null3"/>
              <w:spacing w:after="120"/>
              <w:jc w:val="both"/>
            </w:pPr>
            <w:r>
              <w:rPr>
                <w:rFonts w:ascii="仿宋_GB2312" w:hAnsi="仿宋_GB2312" w:cs="仿宋_GB2312" w:eastAsia="仿宋_GB2312"/>
                <w:sz w:val="21"/>
              </w:rPr>
              <w:t>5.</w:t>
            </w:r>
            <w:r>
              <w:rPr>
                <w:rFonts w:ascii="仿宋_GB2312" w:hAnsi="仿宋_GB2312" w:cs="仿宋_GB2312" w:eastAsia="仿宋_GB2312"/>
                <w:sz w:val="21"/>
              </w:rPr>
              <w:t>采用全数字拟合源，波形失真小，输出电压波形失真度＜</w:t>
            </w:r>
            <w:r>
              <w:rPr>
                <w:rFonts w:ascii="仿宋_GB2312" w:hAnsi="仿宋_GB2312" w:cs="仿宋_GB2312" w:eastAsia="仿宋_GB2312"/>
                <w:sz w:val="21"/>
              </w:rPr>
              <w:t>2%（阻性负载）。具备多种控制接口，在被测仪器具备通讯接口且被测仪器厂家提供通讯协议的情况下，计算机或液晶嵌入式软件可以自动读入标准和被测校验仪的读数，自动形成校准报告。</w:t>
            </w:r>
          </w:p>
          <w:p>
            <w:pPr>
              <w:pStyle w:val="null3"/>
              <w:spacing w:after="1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采用四象限算法，无正交移相器，确保频率变化对校验仪误差影响量测试功能具有与</w:t>
            </w:r>
            <w:r>
              <w:rPr>
                <w:rFonts w:ascii="仿宋_GB2312" w:hAnsi="仿宋_GB2312" w:cs="仿宋_GB2312" w:eastAsia="仿宋_GB2312"/>
                <w:sz w:val="21"/>
              </w:rPr>
              <w:t>50赫兹相同的精度指标，异频可</w:t>
            </w:r>
            <w:r>
              <w:rPr>
                <w:rFonts w:ascii="仿宋_GB2312" w:hAnsi="仿宋_GB2312" w:cs="仿宋_GB2312" w:eastAsia="仿宋_GB2312"/>
                <w:sz w:val="21"/>
              </w:rPr>
              <w:t>在</w:t>
            </w: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Hz~6</w:t>
            </w:r>
            <w:r>
              <w:rPr>
                <w:rFonts w:ascii="仿宋_GB2312" w:hAnsi="仿宋_GB2312" w:cs="仿宋_GB2312" w:eastAsia="仿宋_GB2312"/>
                <w:sz w:val="21"/>
              </w:rPr>
              <w:t>5</w:t>
            </w:r>
            <w:r>
              <w:rPr>
                <w:rFonts w:ascii="仿宋_GB2312" w:hAnsi="仿宋_GB2312" w:cs="仿宋_GB2312" w:eastAsia="仿宋_GB2312"/>
                <w:sz w:val="21"/>
              </w:rPr>
              <w:t>Hz</w:t>
            </w:r>
            <w:r>
              <w:rPr>
                <w:rFonts w:ascii="仿宋_GB2312" w:hAnsi="仿宋_GB2312" w:cs="仿宋_GB2312" w:eastAsia="仿宋_GB2312"/>
                <w:sz w:val="21"/>
              </w:rPr>
              <w:t>之间任意选择</w:t>
            </w:r>
            <w:r>
              <w:rPr>
                <w:rFonts w:ascii="仿宋_GB2312" w:hAnsi="仿宋_GB2312" w:cs="仿宋_GB2312" w:eastAsia="仿宋_GB2312"/>
                <w:sz w:val="21"/>
              </w:rPr>
              <w:t>。</w:t>
            </w:r>
          </w:p>
          <w:p>
            <w:pPr>
              <w:pStyle w:val="null3"/>
              <w:spacing w:after="1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具有极坐标系与直角坐标系转换功能，以直角坐标系为优先，满足互感器校验仪检定。极坐标系下可检定电子式互感器校验仪。</w:t>
            </w:r>
          </w:p>
          <w:p>
            <w:pPr>
              <w:pStyle w:val="null3"/>
              <w:spacing w:after="1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装置源输出具有自反馈调节功能，同相分量和正交分量输出值可分别调节，同时输出，使输出精度保持长期稳定。装置具有良好的电气隔离与保护功能，可以对电压输出回路短路及电流输出回路开路进行自动保护。</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设备供货到位，验收合格后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1、响应文件是否按照谈判文件要求的格式编写； 2、响应内容是否有重大缺漏项； 3、响应内容是否符合谈判文件采购要求； 4、响应文件的签署、加盖印章是否合格、有效； 5、响应报价是否未超过采购预算； 6、响应文件是否响应了谈判文件要求的全部条款、条件和规格要求，并且提供了支持文件，没有重大偏离； 7、对合同中规定的双方的权利和义务是否做出了实质性响应。</w:t>
            </w:r>
          </w:p>
        </w:tc>
        <w:tc>
          <w:tcPr>
            <w:tcW w:type="dxa" w:w="1661"/>
          </w:tcPr>
          <w:p>
            <w:pPr>
              <w:pStyle w:val="null3"/>
            </w:pPr>
            <w:r>
              <w:rPr>
                <w:rFonts w:ascii="仿宋_GB2312" w:hAnsi="仿宋_GB2312" w:cs="仿宋_GB2312" w:eastAsia="仿宋_GB2312"/>
              </w:rPr>
              <w:t>响应文件封面 产品技术参数表 商务应答表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