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版本号：DQB-2025033-CS20250513001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陕西省总工会机关餐厅餐饮劳务外包项目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DQB-2025033-CS</w:t>
      </w:r>
      <w:r>
        <w:br/>
      </w:r>
      <w:r>
        <w:br/>
      </w:r>
      <w:r>
        <w:br/>
      </w:r>
    </w:p>
    <w:p>
      <w:pPr>
        <w:pStyle w:val="null3"/>
        <w:jc w:val="center"/>
        <w:outlineLvl w:val="2"/>
      </w:pPr>
      <w:r>
        <w:rPr>
          <w:rFonts w:ascii="仿宋_GB2312" w:hAnsi="仿宋_GB2312" w:cs="仿宋_GB2312" w:eastAsia="仿宋_GB2312"/>
          <w:sz w:val="28"/>
          <w:b/>
        </w:rPr>
        <w:t>省总工会本级</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省总工会本级</w:t>
      </w:r>
      <w:r>
        <w:rPr>
          <w:rFonts w:ascii="仿宋_GB2312" w:hAnsi="仿宋_GB2312" w:cs="仿宋_GB2312" w:eastAsia="仿宋_GB2312"/>
        </w:rPr>
        <w:t>委托，拟对</w:t>
      </w:r>
      <w:r>
        <w:rPr>
          <w:rFonts w:ascii="仿宋_GB2312" w:hAnsi="仿宋_GB2312" w:cs="仿宋_GB2312" w:eastAsia="仿宋_GB2312"/>
        </w:rPr>
        <w:t>陕西省总工会机关餐厅餐饮劳务外包项目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DQB-2025033-CS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陕西省总工会机关餐厅餐饮劳务外包项目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陕西省总工会机关餐厅餐饮劳务外包项目。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采购包1（陕西省总工会机关餐厅餐饮劳务外包项目）：属于专门面向中小企业采购。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报告应附二维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pPr>
      <w:r>
        <w:rPr>
          <w:rFonts w:ascii="仿宋_GB2312" w:hAnsi="仿宋_GB2312" w:cs="仿宋_GB2312" w:eastAsia="仿宋_GB2312"/>
        </w:rPr>
        <w:t>11、其他特殊资格：供应商须具有《食品经营许可证》。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省总工会本级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西安市莲湖路389号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029-87228955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李浩、罗宇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银行账号：52880188000025295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代理服务费收费标准：成交金额100万及以下，按照费率1.5%计取。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省总工会本级</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省总工会本级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省总工会本级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1、甲方成立就餐民主管理委员会并制定餐饮管理制度，定期或不定期对乙方进行检查，每月将汇总的考核结果作为本月合同款支付依据。 2、合同期内，就餐民主管理委员会成员代表甲方职工对餐厅饭菜质量、口味、环境卫生等方面每月进行投票评比，乙方现场参与投票评比结果统计。如果联系两个月有超出半数成员对乙方服务表现做出差评，甲方有权无条件解除合同。乙方人员恶意浪费或偷窃食材，经核查属实，乙方应承担相应损失，甲方有权进行考核处罚责令整改，情况严重者终止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省总工会本级</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联系人：李浩、罗宇</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陕西省总工会机关餐厅餐饮劳务外包项目。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陕西省总工会机关餐厅劳务外包项目服务项目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标的名称：陕西省总工会机关餐厅劳务外包项目服务项目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1"/>
                <w:b/>
                <w:color w:val="000000"/>
              </w:rPr>
              <w:t>一、项目概况</w:t>
            </w:r>
          </w:p>
          <w:p>
            <w:pPr>
              <w:pStyle w:val="null3"/>
              <w:ind w:firstLine="480"/>
              <w:jc w:val="left"/>
            </w:pPr>
            <w:r>
              <w:rPr>
                <w:rFonts w:ascii="仿宋_GB2312" w:hAnsi="仿宋_GB2312" w:cs="仿宋_GB2312" w:eastAsia="仿宋_GB2312"/>
                <w:sz w:val="21"/>
                <w:color w:val="000000"/>
              </w:rPr>
              <w:t>为给广大干部职工打造舒适便捷、干净卫生的良好就餐环境，根据陕西省总工会实际情况，参考团体餐饮管理常规做法，制订机关餐厅运营方案。</w:t>
            </w:r>
          </w:p>
          <w:p>
            <w:pPr>
              <w:pStyle w:val="null3"/>
              <w:ind w:firstLine="48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中标人应向采购人提供派驻采购人工作人员，提供服务人员暂定</w:t>
            </w:r>
            <w:r>
              <w:rPr>
                <w:rFonts w:ascii="仿宋_GB2312" w:hAnsi="仿宋_GB2312" w:cs="仿宋_GB2312" w:eastAsia="仿宋_GB2312"/>
                <w:sz w:val="21"/>
                <w:color w:val="000000"/>
              </w:rPr>
              <w:t>16人,保障约200人用餐，其中暂定餐饮中心负责人1名、项目安全员1名，厨师长1名，炒锅2名，切配2名，服务员3名，洗消3名，面点2名，凉菜1名。</w:t>
            </w:r>
          </w:p>
          <w:p>
            <w:pPr>
              <w:pStyle w:val="null3"/>
              <w:ind w:firstLine="48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由中标人负责采购人餐厅早、中、晚餐的膳食供应工作，确保所有膳食的花色品种及营养搭配及膳食的安全卫生，保障采购人人员的日常用餐（其中包括来访客户招待餐）、加班餐，同时负责餐厅的</w:t>
            </w:r>
            <w:r>
              <w:rPr>
                <w:rFonts w:ascii="仿宋_GB2312" w:hAnsi="仿宋_GB2312" w:cs="仿宋_GB2312" w:eastAsia="仿宋_GB2312"/>
                <w:sz w:val="21"/>
                <w:color w:val="000000"/>
              </w:rPr>
              <w:t>·卫生清洁工作，包括但不限于餐厅地面、墙面、餐厅内部设备工具和就餐用具的卫生清洁工作，以及餐厅设备设施安全。</w:t>
            </w:r>
          </w:p>
          <w:p>
            <w:pPr>
              <w:pStyle w:val="null3"/>
              <w:ind w:firstLine="480"/>
              <w:jc w:val="left"/>
            </w:pPr>
            <w:r>
              <w:rPr>
                <w:rFonts w:ascii="仿宋_GB2312" w:hAnsi="仿宋_GB2312" w:cs="仿宋_GB2312" w:eastAsia="仿宋_GB2312"/>
                <w:sz w:val="21"/>
                <w:b/>
                <w:color w:val="000000"/>
              </w:rPr>
              <w:t>二、服务要求：</w:t>
            </w:r>
          </w:p>
          <w:p>
            <w:pPr>
              <w:pStyle w:val="null3"/>
              <w:ind w:firstLine="48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中标人必须按照采购人的要求，按时保质、保量地提供优质服务，保证采购人满意。中标人不得分包转包所中标项目。</w:t>
            </w:r>
          </w:p>
          <w:p>
            <w:pPr>
              <w:pStyle w:val="null3"/>
              <w:ind w:firstLine="48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对于采购人提出的问题，中标人应该积极主动整改。</w:t>
            </w:r>
          </w:p>
          <w:p>
            <w:pPr>
              <w:pStyle w:val="null3"/>
              <w:ind w:firstLine="48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中标人的工作人员必须遵守招标人的管理制度，服从采购人的管理。</w:t>
            </w:r>
          </w:p>
          <w:p>
            <w:pPr>
              <w:pStyle w:val="null3"/>
              <w:ind w:firstLine="48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中标人用工制度按照工作需要自行制订，应严格按照国家相关法律、法规执行。</w:t>
            </w:r>
          </w:p>
          <w:p>
            <w:pPr>
              <w:pStyle w:val="null3"/>
              <w:ind w:firstLine="48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采购人要将各项管理规定及时通报中标人掌握，中标人将相关管理制度及人员岗位流动情况第一时间报采购人备案。</w:t>
            </w:r>
          </w:p>
          <w:p>
            <w:pPr>
              <w:pStyle w:val="null3"/>
              <w:ind w:firstLine="48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中标人人员要遵守采购人的各项管理规定和管理制度，违反者通报中标人并按照采购人相关规定及管理制度处罚。</w:t>
            </w:r>
          </w:p>
          <w:p>
            <w:pPr>
              <w:pStyle w:val="null3"/>
              <w:ind w:firstLine="48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中标人在承包期间，应严格执行《食品卫生法》，防止食物中毒，由于管理不善或中标人人员操作等因素引发的食品卫生安全事件，由中标人负全部责任，赔偿因此给采购人造成的行政事业罚款等相关费用，由中标人无条件进行善后处理，采购人配合。</w:t>
            </w:r>
          </w:p>
          <w:p>
            <w:pPr>
              <w:pStyle w:val="null3"/>
              <w:ind w:firstLine="480"/>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中标人应按照操作规范使用厨房设备，爱惜公共财物，如因中标人使用不当，人为因素造成的设备损坏，要求中标人要恢复其使用效果，还要予以经济处罚。</w:t>
            </w:r>
          </w:p>
          <w:p>
            <w:pPr>
              <w:pStyle w:val="null3"/>
              <w:ind w:firstLine="480"/>
              <w:jc w:val="left"/>
            </w:pPr>
            <w:r>
              <w:rPr>
                <w:rFonts w:ascii="仿宋_GB2312" w:hAnsi="仿宋_GB2312" w:cs="仿宋_GB2312" w:eastAsia="仿宋_GB2312"/>
                <w:sz w:val="21"/>
                <w:b/>
                <w:color w:val="000000"/>
              </w:rPr>
              <w:t>三、服务标准</w:t>
            </w:r>
          </w:p>
          <w:p>
            <w:pPr>
              <w:pStyle w:val="null3"/>
              <w:ind w:firstLine="48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中标人按《食品卫生法》及招标人要求做好员工餐厅的服务，为员工提供安全、卫生、可口、周到的就餐服务，员工就餐满意率达到</w:t>
            </w:r>
            <w:r>
              <w:rPr>
                <w:rFonts w:ascii="仿宋_GB2312" w:hAnsi="仿宋_GB2312" w:cs="仿宋_GB2312" w:eastAsia="仿宋_GB2312"/>
                <w:sz w:val="21"/>
                <w:color w:val="000000"/>
              </w:rPr>
              <w:t>85%以上。</w:t>
            </w:r>
          </w:p>
          <w:p>
            <w:pPr>
              <w:pStyle w:val="null3"/>
              <w:ind w:firstLine="48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中标人后厨工作人员应牢固树立食品卫生安全意识，拒绝加工过期、霉变及</w:t>
            </w:r>
            <w:r>
              <w:rPr>
                <w:rFonts w:ascii="仿宋_GB2312" w:hAnsi="仿宋_GB2312" w:cs="仿宋_GB2312" w:eastAsia="仿宋_GB2312"/>
                <w:sz w:val="21"/>
                <w:color w:val="000000"/>
              </w:rPr>
              <w:t>“三无”食材，不将闲杂人等带入后厨操作间，带病不上岗，保持个人卫生清洁。</w:t>
            </w:r>
          </w:p>
          <w:p>
            <w:pPr>
              <w:pStyle w:val="null3"/>
              <w:ind w:firstLine="48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中标人从业人员应廉洁自律，禁止食堂工作人员私自倒卖原材料。食堂各类食材、工器具禁止私用私留或移为他用。</w:t>
            </w:r>
          </w:p>
          <w:p>
            <w:pPr>
              <w:pStyle w:val="null3"/>
              <w:ind w:firstLine="48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中标人从业人员按招标人管理要求进行食材仓储管理，做到生熟分储、蔬菜与肉类分储等，并在各储藏柜标示食材名称、入库时间、储藏时效。</w:t>
            </w:r>
          </w:p>
          <w:p>
            <w:pPr>
              <w:pStyle w:val="null3"/>
              <w:ind w:firstLine="48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食品加工制作过程干净卫生，加工食材清洗彻底，加工时生熟分案。</w:t>
            </w:r>
          </w:p>
          <w:p>
            <w:pPr>
              <w:pStyle w:val="null3"/>
              <w:ind w:firstLine="48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按招标人规定及要求每日认真开展操作间、餐厅卫生清洁，保持后厨及就餐环境干净整洁、无积垢、无灰尘、无死角、无病媒生物。</w:t>
            </w:r>
          </w:p>
          <w:p>
            <w:pPr>
              <w:pStyle w:val="null3"/>
              <w:ind w:firstLine="48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合理配餐，成品饭食口味适宜、无夹生、无异物。</w:t>
            </w:r>
          </w:p>
          <w:p>
            <w:pPr>
              <w:pStyle w:val="null3"/>
              <w:ind w:firstLine="480"/>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餐后按规定程序对餐具进行彻底清洗消毒。</w:t>
            </w:r>
          </w:p>
          <w:p>
            <w:pPr>
              <w:pStyle w:val="null3"/>
              <w:ind w:firstLine="480"/>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员工就餐、接待就餐按酒店化服务标准，做到周到细致。</w:t>
            </w:r>
          </w:p>
          <w:p>
            <w:pPr>
              <w:pStyle w:val="null3"/>
              <w:ind w:firstLine="480"/>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中标人从业人员应爱护餐厅各类餐具、工器具及设施设备，将餐具、工器具损耗率控制在甲方规定范围内。</w:t>
            </w:r>
          </w:p>
          <w:p>
            <w:pPr>
              <w:pStyle w:val="null3"/>
              <w:ind w:firstLine="480"/>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中标人对委托服务的范围内每天至少全范围清扫两次，做到无杂物、无垃圾、无沙土、无卫生死角、需清除的垃圾必须倒在指定垃圾堆放点</w:t>
            </w:r>
            <w:r>
              <w:rPr>
                <w:rFonts w:ascii="仿宋_GB2312" w:hAnsi="仿宋_GB2312" w:cs="仿宋_GB2312" w:eastAsia="仿宋_GB2312"/>
                <w:sz w:val="21"/>
                <w:color w:val="000000"/>
              </w:rPr>
              <w:t>，</w:t>
            </w:r>
            <w:r>
              <w:rPr>
                <w:rFonts w:ascii="仿宋_GB2312" w:hAnsi="仿宋_GB2312" w:cs="仿宋_GB2312" w:eastAsia="仿宋_GB2312"/>
                <w:sz w:val="21"/>
                <w:color w:val="000000"/>
              </w:rPr>
              <w:t>保证环境清洁</w:t>
            </w:r>
            <w:r>
              <w:rPr>
                <w:rFonts w:ascii="仿宋_GB2312" w:hAnsi="仿宋_GB2312" w:cs="仿宋_GB2312" w:eastAsia="仿宋_GB2312"/>
                <w:sz w:val="21"/>
                <w:color w:val="000000"/>
              </w:rPr>
              <w:t>。</w:t>
            </w:r>
          </w:p>
          <w:p>
            <w:pPr>
              <w:pStyle w:val="null3"/>
              <w:ind w:firstLine="480"/>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中标人从业服务人员必须持有健康证，对患有传染性疾病或不符合上岗要求的人员及时辞退。采购人有权对中标人从业人员进行健康抽查。</w:t>
            </w:r>
          </w:p>
          <w:p>
            <w:pPr>
              <w:pStyle w:val="null3"/>
              <w:ind w:firstLine="480"/>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color w:val="000000"/>
              </w:rPr>
              <w:t>从业人员有统一制服，工作期间标准着装，服务细致周到。</w:t>
            </w:r>
          </w:p>
          <w:p>
            <w:pPr>
              <w:pStyle w:val="null3"/>
              <w:ind w:firstLine="480"/>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w:t>
            </w:r>
            <w:r>
              <w:rPr>
                <w:rFonts w:ascii="仿宋_GB2312" w:hAnsi="仿宋_GB2312" w:cs="仿宋_GB2312" w:eastAsia="仿宋_GB2312"/>
                <w:sz w:val="21"/>
                <w:color w:val="000000"/>
              </w:rPr>
              <w:t>排水明沟保洁</w:t>
            </w:r>
          </w:p>
          <w:p>
            <w:pPr>
              <w:pStyle w:val="null3"/>
              <w:ind w:firstLine="480"/>
              <w:jc w:val="left"/>
            </w:pPr>
            <w:r>
              <w:rPr>
                <w:rFonts w:ascii="仿宋_GB2312" w:hAnsi="仿宋_GB2312" w:cs="仿宋_GB2312" w:eastAsia="仿宋_GB2312"/>
                <w:sz w:val="21"/>
                <w:color w:val="000000"/>
              </w:rPr>
              <w:t>a．排水明沟应每天收尾时及时清理保证其畅通、无阻塞，无积水、无臭味。</w:t>
            </w:r>
          </w:p>
          <w:p>
            <w:pPr>
              <w:pStyle w:val="null3"/>
              <w:ind w:firstLine="480"/>
              <w:jc w:val="left"/>
            </w:pPr>
            <w:r>
              <w:rPr>
                <w:rFonts w:ascii="仿宋_GB2312" w:hAnsi="仿宋_GB2312" w:cs="仿宋_GB2312" w:eastAsia="仿宋_GB2312"/>
                <w:sz w:val="21"/>
                <w:color w:val="000000"/>
              </w:rPr>
              <w:t>b．目视排水明沟干净，无明显泥沙、无污垢。</w:t>
            </w:r>
          </w:p>
          <w:p>
            <w:pPr>
              <w:pStyle w:val="null3"/>
              <w:jc w:val="both"/>
            </w:pPr>
            <w:r>
              <w:rPr>
                <w:rFonts w:ascii="仿宋_GB2312" w:hAnsi="仿宋_GB2312" w:cs="仿宋_GB2312" w:eastAsia="仿宋_GB2312"/>
                <w:sz w:val="21"/>
              </w:rPr>
              <w:t>c.</w:t>
            </w:r>
            <w:r>
              <w:rPr>
                <w:rFonts w:ascii="仿宋_GB2312" w:hAnsi="仿宋_GB2312" w:cs="仿宋_GB2312" w:eastAsia="仿宋_GB2312"/>
                <w:sz w:val="21"/>
              </w:rPr>
              <w:t>隔油池应每天清理两次及以上，保证隔油池底部无油渍，底部无沉淀物。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人员配置满足采购要求，详见服务要求。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设施设备满足采购要求。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（1）甲方成立就餐民主管理委员会并制定餐饮管理制度，定期或不定期对乙方进行检查，每月将汇总的考核结果作为本月合同款支付依据。 （2）合同期内，就餐民主管理委员会成员代表甲方职工对餐厅饭菜质量、口味、环境卫生等方面每月进行投票评比，乙方现场参与投票评比结果统计。如果联系两个月有超出半数成员对乙方服务表现做出差评，甲方有权无条件解除合同。乙方人员恶意浪费或偷窃食材，经核查属实，乙方应承担相应损失，甲方有权进行考核处罚责令整改，情况严重者终止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次月结清上月的劳务费，甲方在收到乙方提供的税务发票后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次月结清上月的劳务费，甲方在收到乙方提供的税务发票后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次月结清上月的劳务费，甲方在收到乙方提供的税务发票后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次月结清上月的劳务费，甲方在收到乙方提供的税务发票后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次月结清上月的劳务费，甲方在收到乙方提供的税务发票后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次月结清上月的劳务费，甲方在收到乙方提供的税务发票后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次月结清上月的劳务费，甲方在收到乙方提供的税务发票后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次月结清上月的劳务费，甲方在收到乙方提供的税务发票后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次月结清上月的劳务费，甲方在收到乙方提供的税务发票后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次月结清上月的劳务费，甲方在收到乙方提供的税务发票后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次月结清上月的劳务费，甲方在收到乙方提供的税务发票后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次月结清上月的劳务费，甲方在收到乙方提供的税务发票后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违约责任：（一）按《民法典》中的相关条款执行。（二）未按合同要求提供服务或服务质量不能满足本次磋商要求，甲方会同监督机构、采购代理机构有权终止合同和对乙方违约行为进行追究，同时按政府采购法的有关规定进行相应的处罚。②解决争议的方法：本合同在履行过程中发生的争议，由甲、乙双方当事人协商解决，协商不成的依法向甲方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正本壹份、副本贰份；若电子响应文件与纸质响应文件不一致的，以电子响应文件为准；响应文件正、副本分别各自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报告应附二维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其他特殊资格</w:t>
            </w:r>
          </w:p>
        </w:tc>
        <w:tc>
          <w:tcPr>
            <w:tcW w:type="dxa" w:w="3322"/>
          </w:tcPr>
          <w:p>
            <w:pPr>
              <w:pStyle w:val="null3"/>
            </w:pPr>
            <w:r>
              <w:rPr>
                <w:rFonts w:ascii="仿宋_GB2312" w:hAnsi="仿宋_GB2312" w:cs="仿宋_GB2312" w:eastAsia="仿宋_GB2312"/>
              </w:rPr>
              <w:t>供应商须具有《食品经营许可证》。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响应文件封面 响应函 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非联合体不分包磋商声明.docx 中小企业声明函 供应商应提交的相关资格证明材料 保证金汇款声明函、保函.docx 报价表 控股管理关系.docx 法定代表人授权书.docx 响应文件封面 书面声明.docx 残疾人福利性单位声明函 标的清单 响应函 近三年无重大违法、违纪书面声明.docx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完全理解接受并签署磋商文件商务条款响应表。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保证金汇款声明函、保函.docx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非联合体不分包磋商声明.docx 服务内容及服务邀请应答表 中小企业声明函 商务应答表 供应商应提交的相关资格证明材料 保证金汇款声明函、保函.docx 报价表 控股管理关系.docx 法定代表人授权书.docx 响应文件封面 分项报价表.docx 书面声明.docx 残疾人福利性单位声明函 服务方案 标的清单 响应函 近三年无重大违法、违纪书面声明.docx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项目整体设想及规划</w:t>
            </w:r>
          </w:p>
        </w:tc>
        <w:tc>
          <w:tcPr>
            <w:tcW w:type="dxa" w:w="2492"/>
          </w:tcPr>
          <w:p>
            <w:pPr>
              <w:pStyle w:val="null3"/>
            </w:pPr>
            <w:r>
              <w:rPr>
                <w:rFonts w:ascii="仿宋_GB2312" w:hAnsi="仿宋_GB2312" w:cs="仿宋_GB2312" w:eastAsia="仿宋_GB2312"/>
              </w:rPr>
              <w:t>通过对本项目服务对象及项目特点分析，制定适合机关餐厅的服务理念及服务目标。 对本项目分析深刻到位，理念及目标规划科学合理，贴合机关餐厅特点，赋6分； 对本项目分析比较到位，理念及目标规划基本合理，与机关餐厅特点有一定贴合度，赋4分； 对本项目分析简单，理念及目标规划有待优化，没有结合机关餐厅特点，赋2分；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节日服务保障</w:t>
            </w:r>
          </w:p>
        </w:tc>
        <w:tc>
          <w:tcPr>
            <w:tcW w:type="dxa" w:w="2492"/>
          </w:tcPr>
          <w:p>
            <w:pPr>
              <w:pStyle w:val="null3"/>
            </w:pPr>
            <w:r>
              <w:rPr>
                <w:rFonts w:ascii="仿宋_GB2312" w:hAnsi="仿宋_GB2312" w:cs="仿宋_GB2312" w:eastAsia="仿宋_GB2312"/>
              </w:rPr>
              <w:t>提供中国传统习俗、节日的服务保障方案。 服务保障方案明确、完善，可行性强，赋9分； 服务保障方案基本完整，有一定的可行性，赋6分； 服务保障方案笼统，可行性差，有待优化，赋3分；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供餐模式</w:t>
            </w:r>
          </w:p>
        </w:tc>
        <w:tc>
          <w:tcPr>
            <w:tcW w:type="dxa" w:w="2492"/>
          </w:tcPr>
          <w:p>
            <w:pPr>
              <w:pStyle w:val="null3"/>
            </w:pPr>
            <w:r>
              <w:rPr>
                <w:rFonts w:ascii="仿宋_GB2312" w:hAnsi="仿宋_GB2312" w:cs="仿宋_GB2312" w:eastAsia="仿宋_GB2312"/>
              </w:rPr>
              <w:t>针对本项目设计具有合理、可行性供餐模式： 在保证菜肴质量的前提下，能够做到食谱营养、品种及口味的合理搭配，并不断开发新产品，确保供应品种多样化。 供餐模式符合机关餐厅特点及需求，食谱搭配合理、营养度高，产品创新度高、类型丰富，赋9分； 供餐模式基本符合机关餐厅特点及需求，食谱搭配基本合理、营养均衡，产品有一定创新度、类型多样，赋6分； 供餐模式基本满足机关餐厅需求，但与其特点不够贴合，食谱搭配有待改善，产品创新度及类型欠缺，赋3分；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提供供应商2022年1月1日至今（以合同签订时间为准）类似项目业绩，每提供一个得2分，满分10分。 （以磋商响应文件中提供的合同复印件加盖公章为准）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保障方案</w:t>
            </w:r>
          </w:p>
        </w:tc>
        <w:tc>
          <w:tcPr>
            <w:tcW w:type="dxa" w:w="2492"/>
          </w:tcPr>
          <w:p>
            <w:pPr>
              <w:pStyle w:val="null3"/>
            </w:pPr>
            <w:r>
              <w:rPr>
                <w:rFonts w:ascii="仿宋_GB2312" w:hAnsi="仿宋_GB2312" w:cs="仿宋_GB2312" w:eastAsia="仿宋_GB2312"/>
              </w:rPr>
              <w:t>提供本项目的保障方案（应围绕保障管理，食材验收，安全卫生等内容编制）。 方案完善，保障管理、食材验收、安全卫生等重要内容详细突出，针对性强，赋8分； 方案完整，保障管理、食材验收、安全卫生等重要内容较详细，有一定针对性，赋5分； 方案基本完整，保障管理、食材验收、安全卫生等重要内容不够详细，针对性欠缺，赋3分； 方案简单笼统，保障管理、食材验收、安全卫生等重要内容粗略，对本项目没有针对性，赋1分；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食品安全承诺，详细完善、合理可行，赋1分； 消防安全承诺，详细完善、合理可行，赋1分； 食堂环境卫生承诺，详细完善、合理可行，赋1分； 依法用工承诺，详细完善、合理可行，赋1分； 厨房设备安全运行承诺，详细完善、合理可行，赋1分； 菜品保障承诺，详细完善、合理可行，赋1分。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1、食品安全管理制度，详细完善、操作可行，赋2分； 2、餐厅经营管理制度，详细完善、操作可行，赋2分； 3、质量与服务管理制度，详细完善、操作可行，赋2分； 4、绩效考核管理制度，详细完善、操作可行，赋2分； 5、食材储存管理制度，详细完善、操作可行，赋2分； 6、其他各项管理制度，详细完善、操作可行，赋2分；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组织计划和人员构成</w:t>
            </w:r>
          </w:p>
        </w:tc>
        <w:tc>
          <w:tcPr>
            <w:tcW w:type="dxa" w:w="2492"/>
          </w:tcPr>
          <w:p>
            <w:pPr>
              <w:pStyle w:val="null3"/>
            </w:pPr>
            <w:r>
              <w:rPr>
                <w:rFonts w:ascii="仿宋_GB2312" w:hAnsi="仿宋_GB2312" w:cs="仿宋_GB2312" w:eastAsia="仿宋_GB2312"/>
              </w:rPr>
              <w:t>根据本项目特点，具有完善的组织计划和人员构成： 组织计划合理，结构完整清晰，项目组成人员职责任务明确，人员数量和人员专业结构配备充足，能充分满足本项目要求，赋10分； 组织计划基本合理，结构基本完整，项目组成人员职责任务基本明确，人员数量和人员专业结构配备合理，能满足本项目要求，赋6分； 组织计划及结构有待优化，项目组成人员职责任务不够明确，人员数量和人员专业结构配备紧张，勉强满足本项目要求，赋3分；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人员资历</w:t>
            </w:r>
          </w:p>
        </w:tc>
        <w:tc>
          <w:tcPr>
            <w:tcW w:type="dxa" w:w="2492"/>
          </w:tcPr>
          <w:p>
            <w:pPr>
              <w:pStyle w:val="null3"/>
            </w:pPr>
            <w:r>
              <w:rPr>
                <w:rFonts w:ascii="仿宋_GB2312" w:hAnsi="仿宋_GB2312" w:cs="仿宋_GB2312" w:eastAsia="仿宋_GB2312"/>
              </w:rPr>
              <w:t>1、本项目总负责人具有相关部门颁发的餐饮高级职业经理人证书的得2分。 2、本项目厨师具有高级职业资格证得1分，每多提供一个加1分，满分3分； 3、本项目面点师具有高级(含)以上职业资格证书的得1分，每多提供一个加1分，满分2分； 4、提供本项目拟派遣工作人员的健康承诺书，每提供1名工作人员的承诺书加0.5分，最多得3分。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对食品质量与卫生进行日常检查的措施、厨房设备日常维护措施和突发情况的应急预案等（包括停水、停电、停气应急预案，食物中毒应急预案，消防安全突发事件应急预案）。 应急保障措施全面、有效、合理、规范、可实施性强，得10分； 应急保障措施有效、合理，具有一定实施性，得6分； 应急保障措施简单、不规范，得3分；未提供得0分。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详见附件：保证金汇款声明函、保函.docx</w:t>
      </w:r>
    </w:p>
    <w:p>
      <w:pPr>
        <w:pStyle w:val="null3"/>
        <w:ind w:firstLine="960"/>
      </w:pPr>
      <w:r>
        <w:rPr>
          <w:rFonts w:ascii="仿宋_GB2312" w:hAnsi="仿宋_GB2312" w:cs="仿宋_GB2312" w:eastAsia="仿宋_GB2312"/>
        </w:rPr>
        <w:t>详见附件：非联合体不分包磋商声明.docx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详见附件：近三年无重大违法、违纪书面声明.docx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