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jc w:val="center"/>
        <w:outlineLvl w:val="1"/>
        <w:rPr>
          <w:rFonts w:hint="eastAsia" w:ascii="宋体" w:hAnsi="宋体" w:eastAsia="宋体" w:cs="宋体"/>
          <w:sz w:val="32"/>
          <w:szCs w:val="32"/>
        </w:rPr>
      </w:pPr>
      <w:r>
        <w:rPr>
          <w:color w:val="auto"/>
          <w:highlight w:val="none"/>
        </w:rPr>
        <w:br w:type="textWrapping"/>
      </w:r>
      <w:r>
        <w:rPr>
          <w:rFonts w:hint="eastAsia" w:ascii="宋体" w:hAnsi="宋体" w:eastAsia="宋体" w:cs="宋体"/>
          <w:b/>
          <w:color w:val="auto"/>
          <w:sz w:val="32"/>
          <w:szCs w:val="32"/>
          <w:highlight w:val="none"/>
        </w:rPr>
        <w:t xml:space="preserve"> </w:t>
      </w: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0567940F">
      <w:pPr>
        <w:pStyle w:val="19"/>
        <w:keepNext w:val="0"/>
        <w:keepLines w:val="0"/>
        <w:pageBreakBefore w:val="0"/>
        <w:kinsoku/>
        <w:wordWrap/>
        <w:overflowPunct/>
        <w:topLinePunct w:val="0"/>
        <w:autoSpaceDE/>
        <w:autoSpaceDN/>
        <w:bidi w:val="0"/>
        <w:spacing w:line="360" w:lineRule="auto"/>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是</w:t>
      </w:r>
    </w:p>
    <w:p w14:paraId="6BFD5609">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陕西省应急管理厅2025年陕西省“安全生产月”启动仪式项目</w:t>
      </w:r>
      <w:r>
        <w:rPr>
          <w:rFonts w:hint="eastAsia" w:ascii="宋体" w:hAnsi="宋体" w:eastAsia="宋体" w:cs="宋体"/>
          <w:sz w:val="24"/>
          <w:szCs w:val="24"/>
        </w:rPr>
        <w:t>（采购项目编号</w:t>
      </w:r>
      <w:r>
        <w:rPr>
          <w:rFonts w:hint="eastAsia" w:ascii="宋体" w:hAnsi="宋体" w:cs="宋体"/>
          <w:sz w:val="24"/>
          <w:szCs w:val="24"/>
          <w:lang w:eastAsia="zh-CN"/>
        </w:rPr>
        <w:t>：</w:t>
      </w:r>
      <w:r>
        <w:rPr>
          <w:rFonts w:hint="eastAsia" w:ascii="宋体" w:hAnsi="宋体" w:eastAsia="宋体" w:cs="宋体"/>
          <w:sz w:val="24"/>
          <w:szCs w:val="24"/>
        </w:rPr>
        <w:t>ZXGJ-ZB14-2025-034</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1356CBC5">
      <w:pPr>
        <w:pStyle w:val="19"/>
        <w:keepNext w:val="0"/>
        <w:keepLines w:val="0"/>
        <w:pageBreakBefore w:val="0"/>
        <w:kinsoku/>
        <w:wordWrap/>
        <w:overflowPunct/>
        <w:topLinePunct w:val="0"/>
        <w:autoSpaceDE/>
        <w:autoSpaceDN/>
        <w:bidi w:val="0"/>
        <w:spacing w:line="360" w:lineRule="auto"/>
        <w:ind w:firstLine="439" w:firstLineChars="183"/>
        <w:rPr>
          <w:rFonts w:hint="eastAsia" w:ascii="宋体" w:hAnsi="宋体" w:eastAsia="宋体" w:cs="宋体"/>
          <w:sz w:val="24"/>
          <w:szCs w:val="24"/>
          <w:lang w:val="en-US" w:eastAsia="zh-CN"/>
        </w:rPr>
      </w:pPr>
      <w:bookmarkStart w:id="1" w:name="_Toc24394"/>
      <w:r>
        <w:rPr>
          <w:rFonts w:hint="eastAsia" w:ascii="宋体" w:hAnsi="宋体" w:eastAsia="宋体" w:cs="宋体"/>
          <w:sz w:val="24"/>
          <w:szCs w:val="24"/>
          <w:lang w:val="en-US" w:eastAsia="zh-CN"/>
        </w:rPr>
        <w:t>陕西省应急管理厅2025年陕西省“安全生产月”启动仪式项目，活动聚焦“人人讲安全、个个会应急—查找身边安全隐患”这一主要内容，组织开展2025年陕西省“安全生产月”启动仪式，围绕隐患风险如何辨识、日常生产生活注意事项、突发险情等内容开展科普讲解，通过群众喜闻乐见的宣传形式广泛宣传安全知识和逃生自救知识，努力提高全民安全素质和社会整体安全水平。</w:t>
      </w:r>
    </w:p>
    <w:p w14:paraId="228D6D47">
      <w:pPr>
        <w:keepNext w:val="0"/>
        <w:keepLines w:val="0"/>
        <w:pageBreakBefore w:val="0"/>
        <w:widowControl/>
        <w:numPr>
          <w:ilvl w:val="0"/>
          <w:numId w:val="2"/>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p>
    <w:p w14:paraId="7206624C">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2" w:name="_Toc2407"/>
      <w:bookmarkStart w:id="3" w:name="_Toc211911348"/>
      <w:bookmarkStart w:id="4" w:name="_Toc225670751"/>
      <w:bookmarkStart w:id="5" w:name="_Toc237145406"/>
      <w:bookmarkStart w:id="6" w:name="_Toc225654644"/>
      <w:bookmarkStart w:id="7" w:name="_Toc239568418"/>
      <w:bookmarkStart w:id="8" w:name="_Toc232492928"/>
      <w:bookmarkStart w:id="9" w:name="_Toc212019594"/>
      <w:bookmarkStart w:id="10" w:name="_Toc283019214"/>
      <w:bookmarkStart w:id="11" w:name="_Toc211854449"/>
      <w:bookmarkStart w:id="12" w:name="_Toc239233914"/>
      <w:bookmarkStart w:id="13" w:name="_Toc282696226"/>
      <w:bookmarkStart w:id="14" w:name="_Toc251768862"/>
      <w:bookmarkStart w:id="15" w:name="_Toc241833903"/>
      <w:bookmarkStart w:id="16" w:name="_Toc225244852"/>
      <w:bookmarkStart w:id="17" w:name="_Toc286993786"/>
      <w:bookmarkStart w:id="18" w:name="_Toc247334841"/>
      <w:bookmarkStart w:id="19" w:name="_Toc185395249"/>
      <w:bookmarkStart w:id="20" w:name="_Toc238984975"/>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2"/>
    </w:p>
    <w:p w14:paraId="49992F2A">
      <w:pPr>
        <w:pStyle w:val="21"/>
        <w:keepNext w:val="0"/>
        <w:keepLines w:val="0"/>
        <w:pageBreakBefore w:val="0"/>
        <w:numPr>
          <w:ilvl w:val="0"/>
          <w:numId w:val="0"/>
        </w:numPr>
        <w:kinsoku/>
        <w:wordWrap/>
        <w:overflowPunct/>
        <w:topLinePunct w:val="0"/>
        <w:autoSpaceDE/>
        <w:autoSpaceDN/>
        <w:bidi w:val="0"/>
        <w:spacing w:line="360" w:lineRule="auto"/>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：陕西省应急管理厅2025年陕西省“安全生产月”启动仪式项目。</w:t>
      </w:r>
    </w:p>
    <w:p w14:paraId="18FFABE4">
      <w:pPr>
        <w:keepNext w:val="0"/>
        <w:keepLines w:val="0"/>
        <w:pageBreakBefore w:val="0"/>
        <w:kinsoku/>
        <w:wordWrap/>
        <w:overflowPunct/>
        <w:topLinePunct w:val="0"/>
        <w:autoSpaceDE/>
        <w:autoSpaceDN/>
        <w:bidi w:val="0"/>
        <w:spacing w:line="360" w:lineRule="auto"/>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21" w:name="_Toc20078"/>
      <w:r>
        <w:rPr>
          <w:rFonts w:hint="eastAsia" w:ascii="宋体" w:hAnsi="宋体" w:eastAsia="宋体" w:cs="宋体"/>
          <w:b/>
          <w:sz w:val="24"/>
          <w:szCs w:val="24"/>
        </w:rPr>
        <w:t>第四条  服务费用及支付方式</w:t>
      </w:r>
      <w:bookmarkEnd w:id="21"/>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2BC17F0C">
      <w:pPr>
        <w:pStyle w:val="21"/>
        <w:keepNext w:val="0"/>
        <w:keepLines w:val="0"/>
        <w:pageBreakBefore w:val="0"/>
        <w:numPr>
          <w:ilvl w:val="0"/>
          <w:numId w:val="0"/>
        </w:numPr>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lang w:val="en-US" w:eastAsia="zh-CN"/>
        </w:rPr>
      </w:pPr>
      <w:bookmarkStart w:id="66" w:name="_GoBack"/>
      <w:bookmarkEnd w:id="66"/>
      <w:r>
        <w:rPr>
          <w:rFonts w:hint="eastAsia" w:ascii="宋体" w:hAnsi="宋体" w:eastAsia="宋体" w:cs="宋体"/>
          <w:color w:val="auto"/>
          <w:kern w:val="0"/>
          <w:sz w:val="24"/>
          <w:szCs w:val="24"/>
          <w:lang w:val="en-US" w:eastAsia="zh-CN"/>
        </w:rPr>
        <w:t>合同签订项目完成且验收合格后</w:t>
      </w:r>
      <w:r>
        <w:rPr>
          <w:rFonts w:hint="eastAsia" w:ascii="宋体" w:hAnsi="宋体" w:cs="宋体"/>
          <w:color w:val="auto"/>
          <w:kern w:val="0"/>
          <w:sz w:val="24"/>
          <w:szCs w:val="24"/>
          <w:lang w:val="en-US" w:eastAsia="zh-CN"/>
        </w:rPr>
        <w:t>，达到付款条件起30日内，支付合同总金额的100.00%。</w:t>
      </w:r>
      <w:r>
        <w:rPr>
          <w:rFonts w:hint="eastAsia" w:ascii="宋体" w:hAnsi="宋体" w:eastAsia="宋体" w:cs="宋体"/>
          <w:color w:val="auto"/>
          <w:kern w:val="0"/>
          <w:sz w:val="24"/>
          <w:szCs w:val="24"/>
          <w:lang w:val="en-US" w:eastAsia="zh-CN"/>
        </w:rPr>
        <w:t>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2027956E">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25ABA474">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13C5F0EE">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F33D5B">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7861C3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24921E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92D941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23CADF6C">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bookmarkStart w:id="29" w:name="_Toc247334846"/>
      <w:bookmarkStart w:id="30" w:name="_Toc225670756"/>
      <w:bookmarkStart w:id="31" w:name="_Toc211854454"/>
      <w:bookmarkStart w:id="32" w:name="_Toc232492933"/>
      <w:bookmarkStart w:id="33" w:name="_Toc237145411"/>
      <w:bookmarkStart w:id="34" w:name="_Toc239568423"/>
      <w:bookmarkStart w:id="35" w:name="_Toc211911353"/>
      <w:bookmarkStart w:id="36" w:name="_Toc212019599"/>
      <w:bookmarkStart w:id="37" w:name="_Toc238984980"/>
      <w:bookmarkStart w:id="38" w:name="_Toc241833908"/>
      <w:bookmarkStart w:id="39" w:name="_Toc225244857"/>
      <w:bookmarkStart w:id="40" w:name="_Toc185395254"/>
      <w:bookmarkStart w:id="41" w:name="_Toc239233919"/>
      <w:bookmarkStart w:id="42" w:name="_Toc251768867"/>
      <w:bookmarkStart w:id="43" w:name="_Toc225654649"/>
      <w:bookmarkStart w:id="44" w:name="_Toc286993792"/>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1E9E9017">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FF98BD5">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7" w:name="_Toc232492934"/>
      <w:bookmarkStart w:id="48" w:name="_Toc185395255"/>
      <w:bookmarkStart w:id="49" w:name="_Toc283019219"/>
      <w:bookmarkStart w:id="50" w:name="_Toc251768868"/>
      <w:bookmarkStart w:id="51" w:name="_Toc212019600"/>
      <w:bookmarkStart w:id="52" w:name="_Toc241833909"/>
      <w:bookmarkStart w:id="53" w:name="_Toc247334847"/>
      <w:bookmarkStart w:id="54" w:name="_Toc239233920"/>
      <w:bookmarkStart w:id="55" w:name="_Toc237145412"/>
      <w:bookmarkStart w:id="56" w:name="_Toc225654650"/>
      <w:bookmarkStart w:id="57" w:name="_Toc211911354"/>
      <w:bookmarkStart w:id="58" w:name="_Toc225670757"/>
      <w:bookmarkStart w:id="59" w:name="_Toc239568424"/>
      <w:bookmarkStart w:id="60" w:name="_Toc286993793"/>
      <w:bookmarkStart w:id="61" w:name="_Toc225244858"/>
      <w:bookmarkStart w:id="62" w:name="_Toc282696231"/>
      <w:bookmarkStart w:id="63" w:name="_Toc238984981"/>
      <w:bookmarkStart w:id="64" w:name="_Toc211854455"/>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85BB2B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pacing w:line="360" w:lineRule="auto"/>
        <w:jc w:val="right"/>
        <w:rPr>
          <w:rFonts w:hint="eastAsia" w:ascii="宋体" w:hAnsi="宋体" w:eastAsia="宋体" w:cs="宋体"/>
          <w:sz w:val="24"/>
          <w:szCs w:val="24"/>
          <w:highlight w:val="none"/>
        </w:rPr>
      </w:pPr>
    </w:p>
    <w:p w14:paraId="22284FC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此页无正文</w:t>
      </w:r>
      <w:r>
        <w:rPr>
          <w:rFonts w:hint="eastAsia" w:ascii="宋体" w:hAnsi="宋体" w:eastAsia="宋体" w:cs="宋体"/>
          <w:sz w:val="24"/>
          <w:szCs w:val="24"/>
          <w:lang w:eastAsia="zh-CN"/>
        </w:rPr>
        <w:t>）</w:t>
      </w:r>
    </w:p>
    <w:p w14:paraId="36DEF9E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06DBD93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2EA6FBAE">
      <w:pPr>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2ACD7BF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55EA5785">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p>
    <w:p w14:paraId="7DABB07D">
      <w:pPr>
        <w:pStyle w:val="17"/>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6629EA"/>
    <w:rsid w:val="09C3197A"/>
    <w:rsid w:val="09E47C9E"/>
    <w:rsid w:val="0A0B72F0"/>
    <w:rsid w:val="105318FC"/>
    <w:rsid w:val="13CB0C43"/>
    <w:rsid w:val="13E176DC"/>
    <w:rsid w:val="13E17932"/>
    <w:rsid w:val="14A302EB"/>
    <w:rsid w:val="177F50ED"/>
    <w:rsid w:val="17911FD7"/>
    <w:rsid w:val="19490666"/>
    <w:rsid w:val="19F079F5"/>
    <w:rsid w:val="1B05046C"/>
    <w:rsid w:val="1F78429F"/>
    <w:rsid w:val="21231F07"/>
    <w:rsid w:val="26CC58BB"/>
    <w:rsid w:val="291549BA"/>
    <w:rsid w:val="2AAB7B5C"/>
    <w:rsid w:val="2B4474F6"/>
    <w:rsid w:val="2BFF7D49"/>
    <w:rsid w:val="2C7F2067"/>
    <w:rsid w:val="2D177764"/>
    <w:rsid w:val="2D73359C"/>
    <w:rsid w:val="321F1F4B"/>
    <w:rsid w:val="328E2276"/>
    <w:rsid w:val="3448144B"/>
    <w:rsid w:val="347303D7"/>
    <w:rsid w:val="34EB7E53"/>
    <w:rsid w:val="3A1B3ECB"/>
    <w:rsid w:val="3AEE380C"/>
    <w:rsid w:val="3DC12FC4"/>
    <w:rsid w:val="40C37860"/>
    <w:rsid w:val="412F4931"/>
    <w:rsid w:val="43180256"/>
    <w:rsid w:val="44E40195"/>
    <w:rsid w:val="45EC27F3"/>
    <w:rsid w:val="46CC1837"/>
    <w:rsid w:val="526565AE"/>
    <w:rsid w:val="53B52B8D"/>
    <w:rsid w:val="53E967C7"/>
    <w:rsid w:val="55926D75"/>
    <w:rsid w:val="5C72662F"/>
    <w:rsid w:val="5DE415F1"/>
    <w:rsid w:val="606D615B"/>
    <w:rsid w:val="617B2617"/>
    <w:rsid w:val="63DE1173"/>
    <w:rsid w:val="64C50F79"/>
    <w:rsid w:val="652C66C7"/>
    <w:rsid w:val="66A86D47"/>
    <w:rsid w:val="6B2C007D"/>
    <w:rsid w:val="6BE7760A"/>
    <w:rsid w:val="6CBA1BBE"/>
    <w:rsid w:val="706E4C9B"/>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2063</Words>
  <Characters>2120</Characters>
  <Lines>0</Lines>
  <Paragraphs>0</Paragraphs>
  <TotalTime>1</TotalTime>
  <ScaleCrop>false</ScaleCrop>
  <LinksUpToDate>false</LinksUpToDate>
  <CharactersWithSpaces>2488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2025-05-15T03:13:57Z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