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版本号：ZXGJ-ZB14-2025-03420250515001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2025年陕西省“安全生产月”启动仪式项目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ZXGJ-ZB14-2025-034</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2025年陕西省“安全生产月”启动仪式项目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ZXGJ-ZB14-2025-034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2025年陕西省“安全生产月”启动仪式项目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应急管理厅2025年陕西省“安全生产月”启动仪式项目，活动聚焦“人人讲安全、个个会应急—查找身边安全隐患”这一主要内容，组织开展2025年陕西省“安全生产月”启动仪式，围绕隐患风险如何辨识、日常生产生活注意事项、突发险情等内容开展科普讲解，通过群众喜闻乐见的宣传形式广泛宣传安全知识和逃生自救知识，努力提高全民安全素质和社会整体安全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采购包1（2025年陕西省“安全生产月”启动仪式项目）：属于专门面向中小企业采购。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029-61166232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王超、王涛、白丹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029-81317379-606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 招标代理服务收费管理暂行办法的通知》（计价格〔2002〕1980号）和国家发改委办公厅颁发的《关于招标代理服务收费有关问题的通知》（发改办价格〔2003〕857号）文件规定标准计算收取。具体收费金额将在成交公告中公布。请将采购代理服务费汇至下列指定账户：开户名称：中昕国际项目管理有限公司；开户行：中国建设银行股份有限公司西安文景路支行；账号：61050178150000000278。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按照采购人及磋商文件及其他相关标准和规定执行；在实施过程中，如果国家或有关部门颁布了新的标准和规定，则供应商应采用新的标准和规定进行实施。</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联系人：王超、王涛、白丹</w:t>
      </w:r>
    </w:p>
    <w:p>
      <w:pPr>
        <w:pStyle w:val="null3"/>
      </w:pPr>
      <w:r>
        <w:rPr>
          <w:rFonts w:ascii="仿宋_GB2312" w:hAnsi="仿宋_GB2312" w:cs="仿宋_GB2312" w:eastAsia="仿宋_GB2312"/>
        </w:rPr>
        <w:t>联系电话：029-81317379-606</w:t>
      </w:r>
    </w:p>
    <w:p>
      <w:pPr>
        <w:pStyle w:val="null3"/>
      </w:pPr>
      <w:r>
        <w:rPr>
          <w:rFonts w:ascii="仿宋_GB2312" w:hAnsi="仿宋_GB2312" w:cs="仿宋_GB2312" w:eastAsia="仿宋_GB2312"/>
        </w:rPr>
        <w:t>地址：西安市未央区西安经济技术开发区凤城十二路首创禧悦里25幢A座16层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应急管理厅2025年陕西省“安全生产月”启动仪式项目，活动聚焦“人人讲安全、个个会应急—查找身边安全隐患”这一主要内容，组织开展2025年陕西省“安全生产月”启动仪式，围绕隐患风险如何辨识、日常生产生活注意事项、突发险情等内容开展科普讲解，通过群众喜闻乐见的宣传形式广泛宣传安全知识和逃生自救知识，努力提高全民安全素质和社会整体安全水平。</w:t>
      </w:r>
    </w:p>
    <w:p>
      <w:pPr>
        <w:pStyle w:val="null3"/>
      </w:pPr>
      <w:r>
        <w:rPr>
          <w:rFonts w:ascii="仿宋_GB2312" w:hAnsi="仿宋_GB2312" w:cs="仿宋_GB2312" w:eastAsia="仿宋_GB2312"/>
        </w:rPr>
        <w:t>本项目所属行业：租赁和商务服务业。（从业人员300人以下或资产总额120000 万元以下的为中小微型企业。其中，从业人员100人及以上，且资产总额8000万元及以上的为中型企业；从业人员10人及以上，且资产总额100万元及以上的为小型 企业；从业人员10人以下或资产总额100万元以下的为微型企业）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举办2025年陕西省“安全生产月”启动仪式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场</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标的名称：举办2025年陕西省“安全生产月”启动仪式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陕西省应急管理厅2025年陕西省“安全生产月”启动仪式项目。举办2025年陕西省“安全生产月”启动仪式。活动聚焦“人人讲安全、个个会应急—查找身边安全隐患”这一主要内容，组织开展2025年陕西省“安全生产月”启动仪式，围绕隐患风险如何辨识、日常生产生活注意事项、突发险情等内容开展科普讲解，通过群众喜闻乐见的宣传形式广泛宣传安全</w:t>
            </w:r>
            <w:r>
              <w:rPr>
                <w:rFonts w:ascii="仿宋_GB2312" w:hAnsi="仿宋_GB2312" w:cs="仿宋_GB2312" w:eastAsia="仿宋_GB2312"/>
                <w:sz w:val="21"/>
              </w:rPr>
              <w:t>知识和逃生自救知识，努力提高全民安全素质和社会整体安全水平。</w:t>
            </w:r>
          </w:p>
          <w:p>
            <w:pPr>
              <w:pStyle w:val="null3"/>
              <w:jc w:val="both"/>
            </w:pPr>
            <w:r>
              <w:rPr>
                <w:rFonts w:ascii="仿宋_GB2312" w:hAnsi="仿宋_GB2312" w:cs="仿宋_GB2312" w:eastAsia="仿宋_GB2312"/>
                <w:sz w:val="21"/>
              </w:rPr>
              <w:t>二、服务内容</w:t>
            </w:r>
          </w:p>
          <w:p>
            <w:pPr>
              <w:pStyle w:val="null3"/>
              <w:jc w:val="both"/>
            </w:pPr>
            <w:r>
              <w:rPr>
                <w:rFonts w:ascii="仿宋_GB2312" w:hAnsi="仿宋_GB2312" w:cs="仿宋_GB2312" w:eastAsia="仿宋_GB2312"/>
                <w:sz w:val="21"/>
              </w:rPr>
              <w:t>2.1 服务要求</w:t>
            </w:r>
          </w:p>
          <w:p>
            <w:pPr>
              <w:pStyle w:val="null3"/>
              <w:jc w:val="both"/>
            </w:pPr>
            <w:r>
              <w:rPr>
                <w:rFonts w:ascii="仿宋_GB2312" w:hAnsi="仿宋_GB2312" w:cs="仿宋_GB2312" w:eastAsia="仿宋_GB2312"/>
                <w:sz w:val="21"/>
              </w:rPr>
              <w:t>1.详尽的全程启动仪式流程表。</w:t>
            </w:r>
          </w:p>
          <w:p>
            <w:pPr>
              <w:pStyle w:val="null3"/>
              <w:jc w:val="both"/>
            </w:pPr>
            <w:r>
              <w:rPr>
                <w:rFonts w:ascii="仿宋_GB2312" w:hAnsi="仿宋_GB2312" w:cs="仿宋_GB2312" w:eastAsia="仿宋_GB2312"/>
                <w:sz w:val="21"/>
              </w:rPr>
              <w:t>2.组建活动启动仪式项目小组，全力配合采购方。</w:t>
            </w:r>
          </w:p>
          <w:p>
            <w:pPr>
              <w:pStyle w:val="null3"/>
              <w:jc w:val="both"/>
            </w:pPr>
            <w:r>
              <w:rPr>
                <w:rFonts w:ascii="仿宋_GB2312" w:hAnsi="仿宋_GB2312" w:cs="仿宋_GB2312" w:eastAsia="仿宋_GB2312"/>
                <w:sz w:val="21"/>
              </w:rPr>
              <w:t>3.启动仪式舞台搭建，展现现场效果。</w:t>
            </w:r>
          </w:p>
          <w:p>
            <w:pPr>
              <w:pStyle w:val="null3"/>
              <w:jc w:val="both"/>
            </w:pPr>
            <w:r>
              <w:rPr>
                <w:rFonts w:ascii="仿宋_GB2312" w:hAnsi="仿宋_GB2312" w:cs="仿宋_GB2312" w:eastAsia="仿宋_GB2312"/>
                <w:sz w:val="21"/>
              </w:rPr>
              <w:t>4.熟悉各个环节和流程，规划行车路线，进场接待，启动仪式，参观引导。每个环节提供平面规划图。</w:t>
            </w:r>
          </w:p>
          <w:p>
            <w:pPr>
              <w:pStyle w:val="null3"/>
              <w:jc w:val="both"/>
            </w:pPr>
            <w:r>
              <w:rPr>
                <w:rFonts w:ascii="仿宋_GB2312" w:hAnsi="仿宋_GB2312" w:cs="仿宋_GB2312" w:eastAsia="仿宋_GB2312"/>
                <w:sz w:val="21"/>
              </w:rPr>
              <w:t>5.配套宣传</w:t>
            </w:r>
          </w:p>
          <w:p>
            <w:pPr>
              <w:pStyle w:val="null3"/>
              <w:jc w:val="both"/>
            </w:pPr>
            <w:r>
              <w:rPr>
                <w:rFonts w:ascii="仿宋_GB2312" w:hAnsi="仿宋_GB2312" w:cs="仿宋_GB2312" w:eastAsia="仿宋_GB2312"/>
                <w:sz w:val="21"/>
              </w:rPr>
              <w:t>（1）活动花絮短视频：对活动进行全程视频跟拍，精彩瞬间剪辑花絮视频</w:t>
            </w:r>
          </w:p>
          <w:p>
            <w:pPr>
              <w:pStyle w:val="null3"/>
              <w:jc w:val="both"/>
            </w:pPr>
            <w:r>
              <w:rPr>
                <w:rFonts w:ascii="仿宋_GB2312" w:hAnsi="仿宋_GB2312" w:cs="仿宋_GB2312" w:eastAsia="仿宋_GB2312"/>
                <w:sz w:val="21"/>
              </w:rPr>
              <w:t>（2）活动直播：对启动仪式中重要活动环节内容及亮点活动内容进行图文直播，将现场精彩第一时间传递。</w:t>
            </w:r>
          </w:p>
          <w:p>
            <w:pPr>
              <w:pStyle w:val="null3"/>
              <w:jc w:val="both"/>
            </w:pPr>
            <w:r>
              <w:rPr>
                <w:rFonts w:ascii="仿宋_GB2312" w:hAnsi="仿宋_GB2312" w:cs="仿宋_GB2312" w:eastAsia="仿宋_GB2312"/>
                <w:sz w:val="21"/>
              </w:rPr>
              <w:t>（3）媒体联动：活动的优质内容将联动中省级媒体进行报道传播，形成多维度传播矩阵。</w:t>
            </w:r>
          </w:p>
          <w:p>
            <w:pPr>
              <w:pStyle w:val="null3"/>
              <w:jc w:val="both"/>
            </w:pPr>
            <w:r>
              <w:rPr>
                <w:rFonts w:ascii="仿宋_GB2312" w:hAnsi="仿宋_GB2312" w:cs="仿宋_GB2312" w:eastAsia="仿宋_GB2312"/>
                <w:sz w:val="21"/>
              </w:rPr>
              <w:t>2.2服务、产品（如有）执行的标准、规范：</w:t>
            </w:r>
          </w:p>
          <w:p>
            <w:pPr>
              <w:pStyle w:val="null3"/>
              <w:jc w:val="both"/>
            </w:pPr>
            <w:r>
              <w:rPr>
                <w:rFonts w:ascii="仿宋_GB2312" w:hAnsi="仿宋_GB2312" w:cs="仿宋_GB2312" w:eastAsia="仿宋_GB2312"/>
                <w:sz w:val="21"/>
              </w:rPr>
              <w:t>（1） 国家标准、规范  /  ；</w:t>
            </w:r>
          </w:p>
          <w:p>
            <w:pPr>
              <w:pStyle w:val="null3"/>
              <w:jc w:val="both"/>
            </w:pPr>
            <w:r>
              <w:rPr>
                <w:rFonts w:ascii="仿宋_GB2312" w:hAnsi="仿宋_GB2312" w:cs="仿宋_GB2312" w:eastAsia="仿宋_GB2312"/>
                <w:sz w:val="21"/>
              </w:rPr>
              <w:t>（2）行业标准、规范  /  ；</w:t>
            </w:r>
          </w:p>
          <w:p>
            <w:pPr>
              <w:pStyle w:val="null3"/>
              <w:jc w:val="both"/>
            </w:pPr>
            <w:r>
              <w:rPr>
                <w:rFonts w:ascii="仿宋_GB2312" w:hAnsi="仿宋_GB2312" w:cs="仿宋_GB2312" w:eastAsia="仿宋_GB2312"/>
                <w:sz w:val="21"/>
              </w:rPr>
              <w:t>（3）地方标准、规范  /  ；</w:t>
            </w:r>
          </w:p>
          <w:p>
            <w:pPr>
              <w:pStyle w:val="null3"/>
              <w:jc w:val="both"/>
            </w:pPr>
            <w:r>
              <w:rPr>
                <w:rFonts w:ascii="仿宋_GB2312" w:hAnsi="仿宋_GB2312" w:cs="仿宋_GB2312" w:eastAsia="仿宋_GB2312"/>
                <w:sz w:val="21"/>
              </w:rPr>
              <w:t>（4）团体标准、规范  /  ；</w:t>
            </w:r>
          </w:p>
          <w:p>
            <w:pPr>
              <w:pStyle w:val="null3"/>
              <w:jc w:val="both"/>
            </w:pPr>
            <w:r>
              <w:rPr>
                <w:rFonts w:ascii="仿宋_GB2312" w:hAnsi="仿宋_GB2312" w:cs="仿宋_GB2312" w:eastAsia="仿宋_GB2312"/>
                <w:sz w:val="21"/>
              </w:rPr>
              <w:t>（5）企业标准、规范  /  。</w:t>
            </w:r>
          </w:p>
          <w:p>
            <w:pPr>
              <w:pStyle w:val="null3"/>
              <w:jc w:val="both"/>
            </w:pPr>
            <w:r>
              <w:rPr>
                <w:rFonts w:ascii="仿宋_GB2312" w:hAnsi="仿宋_GB2312" w:cs="仿宋_GB2312" w:eastAsia="仿宋_GB2312"/>
                <w:sz w:val="21"/>
              </w:rPr>
              <w:t>2.3本章2 .2条款未明确服务（产品）执行标准、规范的，按下列方法进行选择：</w:t>
            </w:r>
          </w:p>
          <w:p>
            <w:pPr>
              <w:pStyle w:val="null3"/>
              <w:jc w:val="both"/>
            </w:pPr>
            <w:r>
              <w:rPr>
                <w:rFonts w:ascii="仿宋_GB2312" w:hAnsi="仿宋_GB2312" w:cs="仿宋_GB2312" w:eastAsia="仿宋_GB2312"/>
                <w:sz w:val="21"/>
              </w:rPr>
              <w:t>□  顺序执行： 国家标准→行业标准→地方标准→ 团体标准→企业标准（有国家标准按国家标准执行，没有国家标 准按行业标准，以此类推）；</w:t>
            </w:r>
          </w:p>
          <w:p>
            <w:pPr>
              <w:pStyle w:val="null3"/>
              <w:jc w:val="both"/>
            </w:pPr>
            <w:r>
              <w:rPr>
                <w:rFonts w:ascii="仿宋_GB2312" w:hAnsi="仿宋_GB2312" w:cs="仿宋_GB2312" w:eastAsia="仿宋_GB2312"/>
                <w:sz w:val="21"/>
              </w:rPr>
              <w:t>□ 最高标准执行： 国家标准，行业标准，地方标准，团体标准，企业标准（哪个标准高执行哪个标准）</w:t>
            </w:r>
          </w:p>
          <w:p>
            <w:pPr>
              <w:pStyle w:val="null3"/>
              <w:jc w:val="both"/>
            </w:pPr>
            <w:r>
              <w:rPr>
                <w:rFonts w:ascii="仿宋_GB2312" w:hAnsi="仿宋_GB2312" w:cs="仿宋_GB2312" w:eastAsia="仿宋_GB2312"/>
                <w:sz w:val="21"/>
              </w:rPr>
              <w:t>√ 必须执行： 国家（行业）强制性标准。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项目团队建立完善，岗位职责明确，人员充足，确保项目有序运行。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按项目服务要求，投入有利于本项目顺利实施的各类设施设备。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合同签订后至项目活动结束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根据项目资料、数据成果等进行验收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合同签订项目完成且验收合格后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为顺利推进政府采购电子化交易平台试点应用工作，供应商需要在线提交所有通过电子化交易平台实施的政府采购项目的响应文件。二、供应商的磋商报价是完成本项目磋商文件中所提出的工作范围及要求的全部内容，并达到国家及采购人验收标准而产生的所有费用，包括但不限于：人工费、设备费、管理费、验收费、采购代理服务费、利润和税金等全部费用费用。在提供服务的过程中的任何遗漏，均由成交供应商免费提供，采购人将不再支付任何费用。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2.在磋商有效期内，供应商撤销响应文件的，应承担磋商文件和法律规定的责任。3.成交供应商的磋商有效期自动延长至合同终止为止。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五、分公司独立参与磋商时，不能使用总公司的资质或业绩；总公司单独参与磋商时，除总公司所投产品为分公司生产的产品外，不能使用分公司的资质或业绩。签名是指手写签名或加盖签名章(含电子)，盖章是指加盖单位章，总公司授权分公司或分支机构参与磋商，可以使用总公司的资质或业绩。六、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七、签名是指手写签名或者加盖名章(含电子)，盖章是指加盖单位印章。八、成交供应商在领取成交通知书时提供纸质版投标文件两套，应通过专用制作软件直接打印，确保与电子投标文件保持一致，不允许修改和补充。提交地点：西安市未央区西安经济技术开发区凤城十二路首创禧悦里25幢A座16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（1）供应商的营业执照等证明文件，自然人的身份证明； (2) 法定代表人参加磋商的，提供本人身份证复印件；法定代表人授权他人参加磋商的，提供法定代表人委托授权书并出示被授权代表的身份证复印件； （3）税收缴纳证明； （4）社会保障资金缴纳证明； （5）具备履行合同所必需的设备和专业技术能力的证明；（6）参加本次采购前3年内，在经营活动中没有重大违法记录的书面声明。注： 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供应商需在项目电子化交易系统中按要求上传相应证明文件并进行电子签章。提供2023年度经审计的财务会计报告或其提交响应文件截止时间前3个月内银行出具的资信证明。（以上形式的资料提供任何一种即可） 要求： （1）供应商是企业法人的，应提供2023全年度经审计的供应商财务报告，包括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 （2）供应商是执行《小企业会计准则》的小微企业的，应提供2023全年度经审计的财务报告，至少包括 《资产负债表》《利润表》《现金流量表》及其附注，或者提交响应文件截止时间前3个月内其基本账户开户银行出具的资信证明（附基本存款账户信息）。（以上形式的资料提供任何一种即可） （3）供应商成立不到1年（至提交响应文件截止时间）的，提供成立后任意时段的资产负债表，或提交响应文件截止时间前3个月内其基本账户开户银行出具的资信证明（附基本存款账户信息）。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资格证明部分.docx 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对本项目的实施背景、实施目的、实施意义等具备充分的认识。 ①对本项目的总体认识定位准确，理解深刻，表述清晰，对项目实施的重点、难点把握精准得10分；②对本项目的总体认识定位基本准确，基本理解项目，表述较清晰，对项目实施的重点、难点具有一定的认识得8分；③总体认识定位不准确，表述不清晰，但内容均围绕项目展开得5分；④提供了需求理解分析，但内容简单，与项目关联度不大得3分；⑤此项未提供者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针对本项目制订切实可行的服务方案，方案内容包括但不限于：对项目组织策划、实施方案、以及根据场地情况提供舞台搭建及效果等内容。 ①方案完整全面、科学合理、可操作性强，完全满足采购人需求得12分；②方案全面，可操作性较强，基本满足采购人需求得10分；③方案基本完善，可操作性一般得8分；④方案简单，内容空泛得5分；⑤方案内容有缺漏，不能满足采购人需求得3分；⑥此项未提供者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对本项目提供科学、可行的宣传推广活动方案（短视频、直播、媒体联动等），满足项目实施要求。 ①方案完整全面、科学合理、可操作性强，完全满足采购人需求得12分；②方案全面，可操作性较强，基本满足采购人需求得10分；③方案基本完善，可操作性一般得8分；④方案简单，内容空泛得5分；⑤方案内容有缺漏，不能满足采购人需求得3分；⑥此项未提供者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①项目服务质量保证措施描述严谨、完整合理、切实可行，质量指标的承诺和目标满足采购需求得8分；②措施描述清晰但不够完整，具有一定的合理性得6分；③措施描述清晰、较完整，合理性一般得4分；④提供了服务质量保障措施，但内容简单，与项目关联度不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进度计划安排合理，实施进度保证措施需满足采购人需求，接到工作任务委托后能够尽快启动相关表演工作，并按期高质量完成受委托工作内容。 ①进度计划详细、完善、紧凑的且合理得7分；②进度计划基本满足且较为合理得4分；③进度计划方案内容不详细、笼统得2分；④此项未提供者不计分。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服务保障承诺</w:t>
            </w:r>
          </w:p>
        </w:tc>
        <w:tc>
          <w:tcPr>
            <w:tcW w:type="dxa" w:w="2492"/>
          </w:tcPr>
          <w:p>
            <w:pPr>
              <w:pStyle w:val="null3"/>
            </w:pPr>
            <w:r>
              <w:rPr>
                <w:rFonts w:ascii="仿宋_GB2312" w:hAnsi="仿宋_GB2312" w:cs="仿宋_GB2312" w:eastAsia="仿宋_GB2312"/>
              </w:rPr>
              <w:t>供应商针对本项目提供切实合理的服务承诺，包括但不限于组织及接待承诺；进度保障承诺；配备人员专业性及稳定性承诺；响应时效承诺。 ①满足本项目实际需求得7分；②服务承诺较合理，可行性一般，基本满足本项目实际需求得4分；③服务承诺不合理，可行性较差，不满足本项目实际需求得2分；④此项未提供者不计分。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根据供应商提供的应急预案措施(如停电、灯光、节目、人员等有针对性的预防及实施措施)、安保措施方案、消防措施方案、后勤保障措施方案以及不可预见的突发应急预案， ①措施及方案全面、针对性强、可实施性强得7分；②措施及方案较全面、有一定针对性、基本合理可行得4分；③措施及方案较简单、针对性一般得2分；④此项未提供者不计分。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拟投入的团队人员及设备配置方案</w:t>
            </w:r>
          </w:p>
        </w:tc>
        <w:tc>
          <w:tcPr>
            <w:tcW w:type="dxa" w:w="2492"/>
          </w:tcPr>
          <w:p>
            <w:pPr>
              <w:pStyle w:val="null3"/>
            </w:pPr>
            <w:r>
              <w:rPr>
                <w:rFonts w:ascii="仿宋_GB2312" w:hAnsi="仿宋_GB2312" w:cs="仿宋_GB2312" w:eastAsia="仿宋_GB2312"/>
              </w:rPr>
              <w:t>针对本项目提供拟投入的团队人员及设备配置方案，组织机构设置合理，管理人员及技术人员配备数量充足、人员职责明确、分工清晰合理、相关项目实施经验丰富，满足项目实施要求。 ①人员配备完善合理、工作经验丰富得7分；②人员配备分工较明确，工作经验丰富一般得4分；③人员配备分工不明确，工作经验丰富较差得2分；④此项未提供者不计分。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提供2022年1月1日至今类似相关项目业绩，每个业绩计 2 分，满分 10 分。（业绩资料提供合同复印件复印件加盖公章。以合同签订日期为准。）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