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版本号：ZKGSF(ZB)-2025086720250516001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医疗用房改造——DSA室改造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ZKGSF(ZB)-20250867</w:t>
      </w:r>
      <w:r>
        <w:br/>
      </w:r>
      <w:r>
        <w:br/>
      </w:r>
      <w:r>
        <w:br/>
      </w:r>
    </w:p>
    <w:p>
      <w:pPr>
        <w:pStyle w:val="null3"/>
        <w:jc w:val="center"/>
        <w:outlineLvl w:val="2"/>
      </w:pPr>
      <w:r>
        <w:rPr>
          <w:rFonts w:ascii="仿宋_GB2312" w:hAnsi="仿宋_GB2312" w:cs="仿宋_GB2312" w:eastAsia="仿宋_GB2312"/>
          <w:sz w:val="28"/>
          <w:b/>
        </w:rPr>
        <w:t>陕西省森林工业职工医院</w:t>
      </w:r>
    </w:p>
    <w:p>
      <w:pPr>
        <w:pStyle w:val="null3"/>
        <w:jc w:val="center"/>
        <w:outlineLvl w:val="2"/>
      </w:pPr>
      <w:r>
        <w:rPr>
          <w:rFonts w:ascii="仿宋_GB2312" w:hAnsi="仿宋_GB2312" w:cs="仿宋_GB2312" w:eastAsia="仿宋_GB2312"/>
          <w:sz w:val="28"/>
          <w:b/>
        </w:rPr>
        <w:t>中科高盛咨询集团有限公司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中科高盛咨询集团有限公司</w:t>
      </w:r>
      <w:r>
        <w:rPr>
          <w:rFonts w:ascii="仿宋_GB2312" w:hAnsi="仿宋_GB2312" w:cs="仿宋_GB2312" w:eastAsia="仿宋_GB2312"/>
        </w:rPr>
        <w:t>（以下简称“代理机构”）受</w:t>
      </w:r>
      <w:r>
        <w:rPr>
          <w:rFonts w:ascii="仿宋_GB2312" w:hAnsi="仿宋_GB2312" w:cs="仿宋_GB2312" w:eastAsia="仿宋_GB2312"/>
        </w:rPr>
        <w:t>陕西省森林工业职工医院</w:t>
      </w:r>
      <w:r>
        <w:rPr>
          <w:rFonts w:ascii="仿宋_GB2312" w:hAnsi="仿宋_GB2312" w:cs="仿宋_GB2312" w:eastAsia="仿宋_GB2312"/>
        </w:rPr>
        <w:t>委托，拟对</w:t>
      </w:r>
      <w:r>
        <w:rPr>
          <w:rFonts w:ascii="仿宋_GB2312" w:hAnsi="仿宋_GB2312" w:cs="仿宋_GB2312" w:eastAsia="仿宋_GB2312"/>
        </w:rPr>
        <w:t>医疗用房改造——DSA室改造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ZKGSF(ZB)-20250867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医疗用房改造——DSA室改造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森林工业职工医院门诊综合楼一层原乳腺钼靶、控制室、骨密度室、空腔CT、控制室、值班室等区域进行整体改造拆除，改造后DSA手术室包含谈话间、医护更衣、医护刷手、控制室、值班室、DSA机房、UPS设备间、缓冲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采购包1（医疗用房改造——DSA室改造）：属于专门面向中小企业采购。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筑工程施工总承包乙级及以上资质(根据2021年施行的新工程资质审核标准核发)(原施工总承包三级及以上资质仍适用)，同时具备建筑施工企业安全生产许可证，并在人员、设备、资金等方面具备相应的施工能力。</w:t>
      </w:r>
    </w:p>
    <w:p>
      <w:pPr>
        <w:pStyle w:val="null3"/>
      </w:pPr>
      <w:r>
        <w:rPr>
          <w:rFonts w:ascii="仿宋_GB2312" w:hAnsi="仿宋_GB2312" w:cs="仿宋_GB2312" w:eastAsia="仿宋_GB2312"/>
        </w:rPr>
        <w:t>2、拟派项目经理资质和专业要求。：拟派项目经理须具备建筑工程专业注册建造师二级及以上资质和有效的安全生产考核合格证，且在本单位注册，未担任其他在建工程项目的项目经理。</w:t>
      </w:r>
    </w:p>
    <w:p>
      <w:pPr>
        <w:pStyle w:val="null3"/>
      </w:pPr>
      <w:r>
        <w:rPr>
          <w:rFonts w:ascii="仿宋_GB2312" w:hAnsi="仿宋_GB2312" w:cs="仿宋_GB2312" w:eastAsia="仿宋_GB2312"/>
        </w:rPr>
        <w:t>3、法定代表人授权书：法定代表人直接参加投标的，须出具法定代表人身份证明书，并与营业执照上信息一致。法定代表人授权代表参加投标的，须出具法定代表人授权书及授权代表身份证复印件</w:t>
      </w:r>
    </w:p>
    <w:p>
      <w:pPr>
        <w:pStyle w:val="null3"/>
      </w:pPr>
      <w:r>
        <w:rPr>
          <w:rFonts w:ascii="仿宋_GB2312" w:hAnsi="仿宋_GB2312" w:cs="仿宋_GB2312" w:eastAsia="仿宋_GB2312"/>
        </w:rPr>
        <w:t>4、供应商信誉要求：不得为“信用中国”网站(http://www.creditchina.gov.cn)列入“失信被执行人、重大税收违法失信主体 、政府采购严重违法失信行为记录名单”的供应商；不得为中国政府采购网(http://w ww.ccgp.gov.cn)“政府采购严重违法失信行为 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陕西省森林工业职工医院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西安市鄠邑区画展街9号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陕西省森林工业职工医院经办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13772518524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西安市未央区未央路中环大厦A座北梯24层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张俊姣、郭雅楠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029-813100333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陕西省森林工业职工医院</w:t>
      </w:r>
      <w:r>
        <w:rPr>
          <w:rFonts w:ascii="仿宋_GB2312" w:hAnsi="仿宋_GB2312" w:cs="仿宋_GB2312" w:eastAsia="仿宋_GB2312"/>
        </w:rPr>
        <w:t>和</w:t>
      </w:r>
      <w:r>
        <w:rPr>
          <w:rFonts w:ascii="仿宋_GB2312" w:hAnsi="仿宋_GB2312" w:cs="仿宋_GB2312" w:eastAsia="仿宋_GB2312"/>
        </w:rPr>
        <w:t>中科高盛咨询集团有限公司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陕西省森林工业职工医院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中科高盛咨询集团有限公司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陕西省森林工业职工医院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中科高盛咨询集团有限公司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中科高盛咨询集团有限公司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中科高盛咨询集团有限公司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中科高盛咨询集团有限公司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联系人：张俊姣、郭雅楠</w:t>
      </w:r>
    </w:p>
    <w:p>
      <w:pPr>
        <w:pStyle w:val="null3"/>
      </w:pPr>
      <w:r>
        <w:rPr>
          <w:rFonts w:ascii="仿宋_GB2312" w:hAnsi="仿宋_GB2312" w:cs="仿宋_GB2312" w:eastAsia="仿宋_GB2312"/>
        </w:rPr>
        <w:t>联系电话：029-81310033</w:t>
      </w:r>
    </w:p>
    <w:p>
      <w:pPr>
        <w:pStyle w:val="null3"/>
      </w:pPr>
      <w:r>
        <w:rPr>
          <w:rFonts w:ascii="仿宋_GB2312" w:hAnsi="仿宋_GB2312" w:cs="仿宋_GB2312" w:eastAsia="仿宋_GB2312"/>
        </w:rPr>
        <w:t>地址：陕西省西安市未央区中环大厦A座北梯24层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643,675.07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医疗用房改造—大C室改造项目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标的名称：医疗用房改造—大C室改造项目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装修部分内容：拆除空心砖原始土建墙、门洞、门</w:t>
            </w:r>
            <w:r>
              <w:rPr>
                <w:rFonts w:ascii="仿宋_GB2312" w:hAnsi="仿宋_GB2312" w:cs="仿宋_GB2312" w:eastAsia="仿宋_GB2312"/>
                <w:sz w:val="22"/>
              </w:rPr>
              <w:t>窗洞封堵、门洞槽钢加固、</w:t>
            </w:r>
            <w:r>
              <w:rPr>
                <w:rFonts w:ascii="仿宋_GB2312" w:hAnsi="仿宋_GB2312" w:cs="仿宋_GB2312" w:eastAsia="仿宋_GB2312"/>
                <w:sz w:val="22"/>
              </w:rPr>
              <w:t>50手工玻镁岩棉彩钢板墙体及吊顶，设备间铝扣板吊顶、以及配合设备厂家要求，地面铺2.0mmPVC卷材,干区地面采用瓷砖，机房内铅板墙面设计3.5铅当量，顶面3铅当量，DSA手术室内配备情报面板（带书写台）、观片灯、药品柜、器械柜、导管柜、手术工作站及麻醉、220V电源箱、气体面盘、书写台、输液导轨、微压计、无影灯地座、吊塔底座安装</w:t>
            </w:r>
            <w:r>
              <w:rPr>
                <w:rFonts w:ascii="仿宋_GB2312" w:hAnsi="仿宋_GB2312" w:cs="仿宋_GB2312" w:eastAsia="仿宋_GB2312"/>
                <w:sz w:val="22"/>
              </w:rPr>
              <w:t>。</w:t>
            </w:r>
          </w:p>
          <w:p>
            <w:pPr>
              <w:pStyle w:val="null3"/>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2"/>
                <w:color w:val="000000"/>
              </w:rPr>
              <w:t>空调部分内容：多联机空调系统、通风系统风机盘管（两管制）、可变冷媒流量空调机组室内机（</w:t>
            </w:r>
            <w:r>
              <w:rPr>
                <w:rFonts w:ascii="仿宋_GB2312" w:hAnsi="仿宋_GB2312" w:cs="仿宋_GB2312" w:eastAsia="仿宋_GB2312"/>
                <w:sz w:val="22"/>
                <w:color w:val="000000"/>
              </w:rPr>
              <w:t>KBN-K5.6和KBN-K7.1）和变制冷剂流量多联机室外机（SWJ-101）及等离子体空气消毒机XDJ-Q100等</w:t>
            </w:r>
            <w:r>
              <w:rPr>
                <w:rFonts w:ascii="仿宋_GB2312" w:hAnsi="仿宋_GB2312" w:cs="仿宋_GB2312" w:eastAsia="仿宋_GB2312"/>
                <w:sz w:val="22"/>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2"/>
                <w:color w:val="000000"/>
              </w:rPr>
              <w:t>电气部分内容：包含动力配电系统、照明配电系统、局部等电位、保护接地、弱电系统</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给排水部分内容：包含一层</w:t>
            </w:r>
            <w:r>
              <w:rPr>
                <w:rFonts w:ascii="仿宋_GB2312" w:hAnsi="仿宋_GB2312" w:cs="仿宋_GB2312" w:eastAsia="仿宋_GB2312"/>
                <w:sz w:val="22"/>
                <w:color w:val="000000"/>
              </w:rPr>
              <w:t>DSA区域内刷手池、热水器卫生器具的给排水管道。</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严格按照国家、地方及行业相关规范、规程、标准及采购人相关要求执行。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1.工期：自进场之日起 60 个日历日内完成项目全部内容。 2.质保期：两年。 2.工程质量：符合国家、地方及行业相关规范、规程、标准及采购人相关要求。 3.支付方式： （1）合同签订，乙方施工进场10日历天后，乙方应开具相应发票予甲方，支付至合同价款的30%。 （2）工程竣工验收合格后，乙方应开具相应发票予甲方，支付至合同价款的75%。 （3）审计完成后，乙方应开具相应发票予甲方，支付至审计价款的97%。 余3%为质保金，质保期满且无质量问题后，一次性付清。 4.成交供应商在开标结束后3个工作日内向代理机构提供纸质版投标文件，投标文件为正本一份，副本二份，电子U盘二份 （U盘内容包括Word版本、签字盖章扫描后的PDF版本投标文件）。纸质投标文件均须A4纸打印，分别各自装订成册并编制目录和页码。与电子竞争性磋商响应文件一致的签字、盖章的完整版本。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 、有效的主体资格证明：供应商为具有独立承担民事责任能力的法人或其他组织或自然人，并提供法人或者其他组织合法有效的统一社 会信用代码的营业执照等证明文件，事业单位应提供事业单位法人证 书， 自然人应提供身份证明文件。 2 、税收缴纳证明：提供磋商截止 时间前6个月内至少一个月的纳税证明或完税证明（任意税种），依法免税的单位应提供相关证明材料。 3 、社会保障资金缴纳证明：提 供磋商截止时间前6个月内至少一个月的社会保障资金缴存单据或社保机构开具的社会保险参保缴费情况证明，依法不需要缴纳社会保障 资金的单位应提供相关证明材料。 4 、书面声明：参加政府采购活动 前3年内在经营活动中没有重大违法记录的书面声明。 5 、证明材料或 承诺：具备履行合同所必需的设备和专业技术能力的证明材料(由供应 商根据项目需求提供说明材料或者承诺)。</w:t>
            </w:r>
          </w:p>
        </w:tc>
        <w:tc>
          <w:tcPr>
            <w:tcW w:type="dxa" w:w="1661"/>
          </w:tcPr>
          <w:p>
            <w:pPr>
              <w:pStyle w:val="null3"/>
            </w:pPr>
            <w:r>
              <w:rPr>
                <w:rFonts w:ascii="仿宋_GB2312" w:hAnsi="仿宋_GB2312" w:cs="仿宋_GB2312" w:eastAsia="仿宋_GB2312"/>
              </w:rPr>
              <w:t>拒绝政府采购领域商业贿赂承诺书.docx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任选其一）｛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磋商截止时间前一年内银行出具的资信证明，④供应商注册时间至磋商截止时间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筑工程施工总承包乙级及以上资质(根据2021年施行的新工程资质审核标准核发)(原施工总承包三级及以上资质仍适用)，同时具备建筑施工企业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拟派项目经理须具备建筑工程专业注册建造师二级及以上资质和有效的安全生产考核合格证，且在本单位注册，未担任其他在建工程项目的项目经理。</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法定代表人直接参加投标的，须出具法定代表人身份证明书，并与营业执照上信息一致。法定代表人授权代表参加投标的，须出具法定代表人授权书及授权代表身份证复印件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 、政府采购严重违法失信行为记录名单”的供应商；不得为中国政府采购网(http://w ww.ccgp.gov.cn)“政府采购严重违法失信行为 记录名单”中的供应商。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已标价工程量清单 中小企业声明函 响应偏离表.docx 强制优先采购产品承诺函 响应文件封面 供应商应提交的相关资格证明材料.docx 项目管理机构组成表 残疾人福利性单位声明函 拒绝政府采购领域商业贿赂承诺书.docx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响应有效期满足要求的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满足本磋商文件中标注的实质性条款（工期、工程质量、支付方式）要求的</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针对本项目施工内容，制定详细的施工方案，同时必须确保质量和服务，思路清晰、全面、合理、具有针对性得4.1～8分；较清晰、全面、合理、具有针对性得0～4分。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施工部署及施工工艺，合理可行、技术先进得3.1～6分；基本可行得0～3分。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材料、施工机械配备、设施及劳动力配备计划，满足得3.1～4分；基本满足得0～3分。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施工进度计划及工期保证措施，合理可行得3.1～6分；基本可行得0～3分。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质量保证体系及措施，具有全面性、有效性、预见性、针对性得3.1～6分；基本可行得0～3分。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安全文明施工组织措施及环境保护措施，合理可行得3.1～6分；基本可行得0～3分。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项目部机构及人员组成，项目部人员配置齐全，全部持证上岗（配备施工员、安全员、质量员等）。满足现场工作需要，设置合理，有完善的设计工作管理制度，专业人员配备结构合理；有明确、合理的岗位职责得4.1～8分；配备人员数量和资格满足现场工作需要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新技术、新产品、新工艺、新材料应用，合理可行得2.1～5分；基本可行得0～2分。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应急措施、应急预案，具体可行得2.1～5分；基本满足得0～2分。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有详细的后续服务措施承诺且具体、可行得2.1～5分；基本满足得0～2分。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提供2022年1月至今同类项目业绩并加盖单位公章，以合同(协议)为准，时间以合同(协议)签订时间为准。每一个类似项目业绩计3分，满分9分。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价格分采用低价优先法计算，即满足磋商文件要求且投标价格最低的投标报价为评审基准价，其价格分为满分。其他供应商的价格分统一按照下列公式计算：投标报价得分 =（评审基准价/磋商报价）×价格权值×100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