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版本号：0617-25A0FZ076220250515001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主院区血管造影机维修服务采购项目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0617-25A0FZ0762</w:t>
      </w:r>
      <w:r>
        <w:br/>
      </w:r>
      <w:r>
        <w:br/>
      </w:r>
      <w:r>
        <w:br/>
      </w:r>
    </w:p>
    <w:p>
      <w:pPr>
        <w:pStyle w:val="null3"/>
        <w:jc w:val="center"/>
        <w:outlineLvl w:val="5"/>
      </w:pPr>
      <w:r>
        <w:rPr>
          <w:rFonts w:ascii="仿宋_GB2312" w:hAnsi="仿宋_GB2312" w:cs="仿宋_GB2312" w:eastAsia="仿宋_GB2312"/>
          <w:sz w:val="15"/>
          <w:b/>
        </w:rPr>
        <w:t>陕西省人民医院</w:t>
      </w:r>
    </w:p>
    <w:p>
      <w:pPr>
        <w:pStyle w:val="null3"/>
        <w:jc w:val="center"/>
        <w:outlineLvl w:val="5"/>
      </w:pPr>
      <w:r>
        <w:rPr>
          <w:rFonts w:ascii="仿宋_GB2312" w:hAnsi="仿宋_GB2312" w:cs="仿宋_GB2312" w:eastAsia="仿宋_GB2312"/>
          <w:sz w:val="15"/>
          <w:b/>
        </w:rPr>
        <w:t>西北(陕西)国际招标有限公司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主院区血管造影机维修服务采购项目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0617-25A0FZ0762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主院区血管造影机维修服务采购项目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陕西省人民医院主院区血管造影机维修服务采购。</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供应商不得为“信用中国”网站（www.creditchina.gov.cn）列入失信被执行人、重大税收违法案件当事人、政府采购不良行为记录的供应商，不得为“中国政府采购网”（www.ccgp.gov.cn）政府采购严重违法失信行为记录中的供应商。</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029-85253261-2323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杨凡、程佳、王炳淇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029-85592868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代理服务费收费标准：按照国家计委颁布的《招标代理服务收费管理暂行办法》（计价格[2002]1980号）规定的招标代理服务收费标准下浮40%。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1、采购文件、响应文件、澄清表（函）； 2、合同及附件文本；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陕西省人民医院主院区血管造影机维修服务采购。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三、更换运动控制计算机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标的名称：三、更换运动控制计算机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一、设备名称：主院区血管造影机</w:t>
            </w:r>
            <w:r>
              <w:br/>
            </w:r>
            <w:r>
              <w:rPr>
                <w:rFonts w:ascii="仿宋_GB2312" w:hAnsi="仿宋_GB2312" w:cs="仿宋_GB2312" w:eastAsia="仿宋_GB2312"/>
              </w:rPr>
              <w:t xml:space="preserve"> 型号：Allura Xper FD10</w:t>
            </w:r>
            <w:r>
              <w:br/>
            </w:r>
            <w:r>
              <w:rPr>
                <w:rFonts w:ascii="仿宋_GB2312" w:hAnsi="仿宋_GB2312" w:cs="仿宋_GB2312" w:eastAsia="仿宋_GB2312"/>
              </w:rPr>
              <w:t xml:space="preserve"> 序列号：001384</w:t>
            </w:r>
            <w:r>
              <w:br/>
            </w:r>
            <w:r>
              <w:rPr>
                <w:rFonts w:ascii="仿宋_GB2312" w:hAnsi="仿宋_GB2312" w:cs="仿宋_GB2312" w:eastAsia="仿宋_GB2312"/>
              </w:rPr>
              <w:t xml:space="preserve"> 二、故障说明：主机控制单元死机</w:t>
            </w:r>
            <w:r>
              <w:br/>
            </w:r>
            <w:r>
              <w:rPr>
                <w:rFonts w:ascii="仿宋_GB2312" w:hAnsi="仿宋_GB2312" w:cs="仿宋_GB2312" w:eastAsia="仿宋_GB2312"/>
              </w:rPr>
              <w:t xml:space="preserve"> 三、解决方案：更换运动控制计算机</w:t>
            </w:r>
            <w:r>
              <w:br/>
            </w:r>
            <w:r>
              <w:rPr>
                <w:rFonts w:ascii="仿宋_GB2312" w:hAnsi="仿宋_GB2312" w:cs="仿宋_GB2312" w:eastAsia="仿宋_GB2312"/>
              </w:rPr>
              <w:t xml:space="preserve"> 四、需采购配件的名称及型号数量</w:t>
            </w:r>
            <w:r>
              <w:br/>
            </w:r>
            <w:r>
              <w:rPr>
                <w:rFonts w:ascii="仿宋_GB2312" w:hAnsi="仿宋_GB2312" w:cs="仿宋_GB2312" w:eastAsia="仿宋_GB2312"/>
              </w:rPr>
              <w:t xml:space="preserve">    备件名称：运动控制计算机</w:t>
            </w:r>
            <w:r>
              <w:br/>
            </w:r>
            <w:r>
              <w:rPr>
                <w:rFonts w:ascii="仿宋_GB2312" w:hAnsi="仿宋_GB2312" w:cs="仿宋_GB2312" w:eastAsia="仿宋_GB2312"/>
              </w:rPr>
              <w:t xml:space="preserve">    数量：1</w:t>
            </w:r>
            <w:r>
              <w:br/>
            </w:r>
            <w:r>
              <w:rPr>
                <w:rFonts w:ascii="仿宋_GB2312" w:hAnsi="仿宋_GB2312" w:cs="仿宋_GB2312" w:eastAsia="仿宋_GB2312"/>
              </w:rPr>
              <w:t xml:space="preserve">    型号：UPPA06</w:t>
            </w:r>
            <w:r>
              <w:br/>
            </w:r>
            <w:r>
              <w:rPr>
                <w:rFonts w:ascii="仿宋_GB2312" w:hAnsi="仿宋_GB2312" w:cs="仿宋_GB2312" w:eastAsia="仿宋_GB2312"/>
              </w:rPr>
              <w:t xml:space="preserve">    控制方向：纵向</w:t>
            </w:r>
            <w:r>
              <w:br/>
            </w:r>
            <w:r>
              <w:rPr>
                <w:rFonts w:ascii="仿宋_GB2312" w:hAnsi="仿宋_GB2312" w:cs="仿宋_GB2312" w:eastAsia="仿宋_GB2312"/>
              </w:rPr>
              <w:t xml:space="preserve">    控制轴类：长轴</w:t>
            </w:r>
          </w:p>
          <w:p>
            <w:pPr>
              <w:pStyle w:val="null3"/>
            </w:pPr>
            <w:r>
              <w:rPr>
                <w:rFonts w:ascii="仿宋_GB2312" w:hAnsi="仿宋_GB2312" w:cs="仿宋_GB2312" w:eastAsia="仿宋_GB2312"/>
              </w:rPr>
              <w:t xml:space="preserve"> </w:t>
            </w:r>
          </w:p>
          <w:p>
            <w:pPr>
              <w:pStyle w:val="null3"/>
              <w:ind w:left="420"/>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根据项目需求配置</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根据项目需求配置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合同签订后7个日历日内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验收合格并经甲方盖章确认之日起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1、采购文件、响应文件、澄清表（函）； 2、合同及附件文本； 3、国家相应的标准、规范。</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1.按《中华人民共和国政府采购法》、《中华人民共和国民法典》中的相关条款执行: 2.未按合同要求的提供服务或服务质量不能满足甲方要求，甲方有权终止合同，甚至对乙方违约行为进行追究: 3.如有纠纷，双方友好协商解决，协商不成时可诉讼到甲方所在地人民法院解决。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（一）具有独立承担民事责任的能力：提供注册登记凭证（营业执照、其他组织经营的合法凭证，自然人的提供身份证明文件）。 （二）具有良好的商业信誉和健全的财务会计制度：提供2023年度或2024年度经审计的财务报告（包括四表一注，即资产负债表、利润表、现金流量表、所有者权益变动表及其附注）；事业法人提供部门决算报告；/或在协商日期前六个月内其基本开户银行出具的资信证明（附《基本存款账户信息》或《银行开户许可证》复印件）； /或财政部门认可的政府采购专业担保机构出具的担保函；/或表明具有良好的商业信誉和健全的财务会计制度的诚信声明；以上四种形式的资料提供任何一种即可。 （三）具有履行合同所必需的设备和专业技术能力：提供声明文件。 （四）具有依法缴纳税收的良好记录：提供缴费所属日期为协商时间前12个月内任意一个月（协商时间当月不计入）的增值税（或所得税）缴费凭据或税务机关出具的完税证明/在法规范围内不需提供的应出具书面说明和证明文件；/或具有依法缴纳税收的诚信声明；以上二种形式的资料提供任何一种即可。 （五）具有依法缴纳社会保障资金的良好记录：提供缴费所属日期为协商时间前12个月内任意一个月（协商时间当月不计入）的缴费凭据或社保机关出具的缴费证明/在法规范围内不需提供的应出具书面说明和证明文件；/或具有依法缴纳社会保障资金的缴纳记录的诚信声明；以上二种形式的资料提供任何一种即可。 （六）参加政府采购活动前3年内在经营活动中没有重大违法记录的书面声明。 供应商需在项目电子化交易系统中按要求上传相关证明文件并进行电子签章。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列入失信被执行人、重大税收违法案件当事人、政府采购不良行为记录的供应商，不得为“中国政府采购网”（www.ccgp.gov.cn）政府采购严重违法失信行为记录中的供应商。</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响应文件的完整性、有效性、响应性</w:t>
            </w:r>
          </w:p>
        </w:tc>
        <w:tc>
          <w:tcPr>
            <w:tcW w:type="dxa" w:w="3322"/>
          </w:tcPr>
          <w:p>
            <w:pPr>
              <w:pStyle w:val="null3"/>
            </w:pPr>
            <w:r>
              <w:rPr>
                <w:rFonts w:ascii="仿宋_GB2312" w:hAnsi="仿宋_GB2312" w:cs="仿宋_GB2312" w:eastAsia="仿宋_GB2312"/>
              </w:rPr>
              <w:t>响应文件是否按照采购文件要求的格式编写；响应文件的签署、加盖印章是否有效；报价是否未超过采购预算；报价有效期是否符合采购文件的要求；是否满足采购文件中的实质性要求。</w:t>
            </w:r>
          </w:p>
        </w:tc>
        <w:tc>
          <w:tcPr>
            <w:tcW w:type="dxa" w:w="1661"/>
          </w:tcPr>
          <w:p>
            <w:pPr>
              <w:pStyle w:val="null3"/>
            </w:pPr>
            <w:r>
              <w:rPr>
                <w:rFonts w:ascii="仿宋_GB2312" w:hAnsi="仿宋_GB2312" w:cs="仿宋_GB2312" w:eastAsia="仿宋_GB2312"/>
              </w:rPr>
              <w:t>响应文件封面 中小企业声明函 残疾人福利性单位声明函 服务方案.docx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