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版本号：ZHPM-ZC-2510920250516001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陕南区域公路交通应急装备物资储备中心工程可行性研究报告编制</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ZHPM-ZC-25109</w:t>
      </w:r>
      <w:r>
        <w:br/>
      </w:r>
      <w:r>
        <w:br/>
      </w:r>
      <w:r>
        <w:br/>
      </w:r>
    </w:p>
    <w:p>
      <w:pPr>
        <w:pStyle w:val="null3"/>
        <w:jc w:val="center"/>
        <w:outlineLvl w:val="2"/>
      </w:pPr>
      <w:r>
        <w:rPr>
          <w:rFonts w:ascii="仿宋_GB2312" w:hAnsi="仿宋_GB2312" w:cs="仿宋_GB2312" w:eastAsia="仿宋_GB2312"/>
          <w:sz w:val="28"/>
          <w:b/>
        </w:rPr>
        <w:t>陕西省公路局</w:t>
      </w:r>
    </w:p>
    <w:p>
      <w:pPr>
        <w:pStyle w:val="null3"/>
        <w:jc w:val="center"/>
        <w:outlineLvl w:val="2"/>
      </w:pPr>
      <w:r>
        <w:rPr>
          <w:rFonts w:ascii="仿宋_GB2312" w:hAnsi="仿宋_GB2312" w:cs="仿宋_GB2312" w:eastAsia="仿宋_GB2312"/>
          <w:sz w:val="28"/>
          <w:b/>
        </w:rPr>
        <w:t>中昊项目管理有限公司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中昊项目管理有限公司</w:t>
      </w:r>
      <w:r>
        <w:rPr>
          <w:rFonts w:ascii="仿宋_GB2312" w:hAnsi="仿宋_GB2312" w:cs="仿宋_GB2312" w:eastAsia="仿宋_GB2312"/>
        </w:rPr>
        <w:t>（以下简称“代理机构”）受</w:t>
      </w:r>
      <w:r>
        <w:rPr>
          <w:rFonts w:ascii="仿宋_GB2312" w:hAnsi="仿宋_GB2312" w:cs="仿宋_GB2312" w:eastAsia="仿宋_GB2312"/>
        </w:rPr>
        <w:t>陕西省公路局</w:t>
      </w:r>
      <w:r>
        <w:rPr>
          <w:rFonts w:ascii="仿宋_GB2312" w:hAnsi="仿宋_GB2312" w:cs="仿宋_GB2312" w:eastAsia="仿宋_GB2312"/>
        </w:rPr>
        <w:t>委托，拟对</w:t>
      </w:r>
      <w:r>
        <w:rPr>
          <w:rFonts w:ascii="仿宋_GB2312" w:hAnsi="仿宋_GB2312" w:cs="仿宋_GB2312" w:eastAsia="仿宋_GB2312"/>
        </w:rPr>
        <w:t>陕南区域公路交通应急装备物资储备中心工程可行性研究报告编制</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ZHPM-ZC-25109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陕南区域公路交通应急装备物资储备中心工程可行性研究报告编制</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依据国家发展改革委发布制定的《政府投资项目可行性研究报告编制通用大纲》要求，拟在陕南区域建设公路交通应急装备物资储备中心，完成陕南区域建设公路交通应急装备物资储备中心工程可行性研究报告编制。项目建设将满足陕南区域公路应急需求，缩短应急响应时间，适应本地灾害特点，针对性地储备相关应急物资，加强地方自主应对能力，保障地方经济稳定运行，同时与周边地市的储备中心形成协同联动机制，在跨区域应急事件中能够更高效地调配资源，实现区域协同应对。有助于建立健全本地的应急管理体系，提高综合应急管理水平，增强公众对公路出行安全的信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复印件/法定代表人授权委托书：1)法定代表人参加磋商的，提供法定代表人身份证复印件；2)法定代表人委托代理人参加磋商的，提供法定代表人授权委托书（附法定代表人身份证复印件及被授权委托人身份证复印件）。</w:t>
      </w:r>
    </w:p>
    <w:p>
      <w:pPr>
        <w:pStyle w:val="null3"/>
      </w:pPr>
      <w:r>
        <w:rPr>
          <w:rFonts w:ascii="仿宋_GB2312" w:hAnsi="仿宋_GB2312" w:cs="仿宋_GB2312" w:eastAsia="仿宋_GB2312"/>
        </w:rPr>
        <w:t>2、承诺函：供应商未被省级及以上交通运输主管部门限制进入公路建养市场，且不在处罚有效期内（提供承诺）。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陕西省公路局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西安市含光北路110号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88408464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中昊项目管理有限公司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西安市高新区丈八街办团结南路35号高新新天地2号楼2402室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郭兢冉、赵敏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029-87303582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说明：合同签订前，乙方须向甲方缴纳合同总金额5%的履约保证金，履约保证金待乙方履行完毕全部合同义务，并经甲方履约验收合格，无任何纠纷后无息退还。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依据陕西省公路局关于政府采购项目委托代理服务比选结果。由中标/成交供应商向代理机构一次性缴纳代理服务费。代理服务费标准为代理项目金额的0.84%，代理服务费收取：4116元。银行户名：中昊项目管理有限公司 开户银行：中国民生银行股份有限公司西安枫林绿洲支行 账号：160927203 备注：项目编号+采购包号+代理服务费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陕西省公路局</w:t>
      </w:r>
      <w:r>
        <w:rPr>
          <w:rFonts w:ascii="仿宋_GB2312" w:hAnsi="仿宋_GB2312" w:cs="仿宋_GB2312" w:eastAsia="仿宋_GB2312"/>
        </w:rPr>
        <w:t>和</w:t>
      </w:r>
      <w:r>
        <w:rPr>
          <w:rFonts w:ascii="仿宋_GB2312" w:hAnsi="仿宋_GB2312" w:cs="仿宋_GB2312" w:eastAsia="仿宋_GB2312"/>
        </w:rPr>
        <w:t>中昊项目管理有限公司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陕西省公路局</w:t>
      </w:r>
      <w:r>
        <w:rPr>
          <w:rFonts w:ascii="仿宋_GB2312" w:hAnsi="仿宋_GB2312" w:cs="仿宋_GB2312" w:eastAsia="仿宋_GB2312"/>
        </w:rPr>
        <w:t>负责解释。除上述磋商文件内容，其他内容由</w:t>
      </w:r>
      <w:r>
        <w:rPr>
          <w:rFonts w:ascii="仿宋_GB2312" w:hAnsi="仿宋_GB2312" w:cs="仿宋_GB2312" w:eastAsia="仿宋_GB2312"/>
        </w:rPr>
        <w:t>中昊项目管理有限公司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陕西省公路局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中昊项目管理有限公司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符合国家相关标准和磋商文件及磋商响应文件承诺的相关内容</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中昊项目管理有限公司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中昊项目管理有限公司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中昊项目管理有限公司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联系人：赵敏、杨小倩</w:t>
      </w:r>
    </w:p>
    <w:p>
      <w:pPr>
        <w:pStyle w:val="null3"/>
      </w:pPr>
      <w:r>
        <w:rPr>
          <w:rFonts w:ascii="仿宋_GB2312" w:hAnsi="仿宋_GB2312" w:cs="仿宋_GB2312" w:eastAsia="仿宋_GB2312"/>
        </w:rPr>
        <w:t>联系电话：029-87303582</w:t>
      </w:r>
    </w:p>
    <w:p>
      <w:pPr>
        <w:pStyle w:val="null3"/>
      </w:pPr>
      <w:r>
        <w:rPr>
          <w:rFonts w:ascii="仿宋_GB2312" w:hAnsi="仿宋_GB2312" w:cs="仿宋_GB2312" w:eastAsia="仿宋_GB2312"/>
        </w:rPr>
        <w:t>地址：西安市高新区丈八街办团结南路35号高新新天地2号楼2402室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依据国家发展改革委发布制定的《政府投资项目可行性研究报告编制通用大纲》要求，拟在陕南区域建设公路交通应急装备物资储备中心，完成陕南区域建设公路交通应急装备物资储备中心工程可行性研究报告编制。项目建设将满足陕南区域公路应急需求，缩短应急响应时间，适应本地灾害特点，针对性地储备相关应急物资，加强地方自主应对能力，保障地方经济稳定运行，同时与周边地市的储备中心形成协同联动机制，在跨区域应急事件中能够更高效地调配资源，实现区域协同应对。有助于建立健全本地的应急管理体系，提高综合应急管理水平，增强公众对公路出行安全的信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490,000.00</w:t>
      </w:r>
    </w:p>
    <w:p>
      <w:pPr>
        <w:pStyle w:val="null3"/>
      </w:pPr>
      <w:r>
        <w:rPr>
          <w:rFonts w:ascii="仿宋_GB2312" w:hAnsi="仿宋_GB2312" w:cs="仿宋_GB2312" w:eastAsia="仿宋_GB2312"/>
        </w:rPr>
        <w:t>采购包最高限价（元）: 490,000.00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陕南区域公路交通应急装备物资储备中心工程可行性研究报告编制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490,000.00</w:t>
            </w:r>
          </w:p>
        </w:tc>
        <w:tc>
          <w:tcPr>
            <w:tcW w:type="dxa" w:w="831"/>
          </w:tcPr>
          <w:p>
            <w:pPr>
              <w:pStyle w:val="null3"/>
            </w:pPr>
            <w:r>
              <w:rPr>
                <w:rFonts w:ascii="仿宋_GB2312" w:hAnsi="仿宋_GB2312" w:cs="仿宋_GB2312" w:eastAsia="仿宋_GB2312"/>
              </w:rPr>
              <w:t>标段</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标的名称：陕南区域公路交通应急装备物资储备中心工程可行性研究报告编制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一、项目概</w:t>
            </w:r>
            <w:r>
              <w:rPr>
                <w:rFonts w:ascii="仿宋_GB2312" w:hAnsi="仿宋_GB2312" w:cs="仿宋_GB2312" w:eastAsia="仿宋_GB2312"/>
                <w:sz w:val="21"/>
              </w:rPr>
              <w:t>况</w:t>
            </w:r>
          </w:p>
          <w:p>
            <w:pPr>
              <w:pStyle w:val="null3"/>
              <w:ind w:firstLine="420"/>
              <w:jc w:val="both"/>
            </w:pPr>
            <w:r>
              <w:rPr>
                <w:rFonts w:ascii="仿宋_GB2312" w:hAnsi="仿宋_GB2312" w:cs="仿宋_GB2312" w:eastAsia="仿宋_GB2312"/>
                <w:sz w:val="21"/>
              </w:rPr>
              <w:t>依据国家发展改革委发布制定的《政府投资项目可行性研究报告编制通用大纲》要求，拟在陕南区域建设公路交通应急装备物资储备中心，完成陕南区域建设公路交通应急装备物资储备中心工程可行性研究报告编制。项目建设将满足陕南区域公路应急需求，缩短应急响应时间，适应本地灾害特点，针对性地储备相关应急物资，加强地方自主应对能力，保障地方经济稳定运行，同时与周边地市的储备中心形成协同联动机制，在跨区域应急事件中能够更高效地调配资源，实现区域协同应对。有助于建立健全本地的应急管理体系，提高综合应急管理水平，增强公众对公路出行安全的信心。</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服务内容及要求</w:t>
            </w:r>
          </w:p>
          <w:p>
            <w:pPr>
              <w:pStyle w:val="null3"/>
              <w:ind w:firstLine="420"/>
              <w:jc w:val="both"/>
            </w:pPr>
            <w:r>
              <w:rPr>
                <w:rFonts w:ascii="仿宋_GB2312" w:hAnsi="仿宋_GB2312" w:cs="仿宋_GB2312" w:eastAsia="仿宋_GB2312"/>
                <w:sz w:val="21"/>
              </w:rPr>
              <w:t>按照国家和陕西省有关政策法规、规范、标准，编制提交陕南区域应急装备储备物资中心工程可行性研究报告。项目主要包含物资储备及办公区域及训练演练场两部分。其中物资储备及办公区域主要建、构筑物包含办公楼、钢桥储备库、装备物资库等储备及办公类建筑物；训练演练场地主要包含模拟各类道路应急情况模拟训练、演练场地、指挥台、设备间等辅助用房。</w:t>
            </w:r>
            <w:r>
              <w:rPr>
                <w:rFonts w:ascii="仿宋_GB2312" w:hAnsi="仿宋_GB2312" w:cs="仿宋_GB2312" w:eastAsia="仿宋_GB2312"/>
                <w:sz w:val="21"/>
              </w:rPr>
              <w:t>设计范围包括场区内各建构筑物、各类场地、设施的总平面布局方案设计及可行性研究报告文本的编制。</w:t>
            </w:r>
          </w:p>
          <w:p>
            <w:pPr>
              <w:pStyle w:val="null3"/>
              <w:jc w:val="both"/>
            </w:pPr>
            <w:r>
              <w:rPr>
                <w:rFonts w:ascii="仿宋_GB2312" w:hAnsi="仿宋_GB2312" w:cs="仿宋_GB2312" w:eastAsia="仿宋_GB2312"/>
                <w:sz w:val="21"/>
              </w:rPr>
              <w:t>具体完成以下工作内容</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按照国家和陕西省有关政策法规、规范、标准，编制该项目可行性研究报告。可行性研究报告的编制必须满足国家发展改革委发布制定的《政府投资项目可行性研究报告编制通用大纲》要求，报告包含但不限于如下内容:（1）概述(项目概况、项目单位概况、编制依据、主要结论和建议）;（2）项目建设背景和必要性（项目建设背景、规划政策符合性、项目建设必要性）;（3）项目需求分析与产出方案（需求分析、建设内容和规模、项目产出方案;（4）项目选址与要素保障（项目选址或选线、项目建设条件、要素保障分析）;（5）项目建设方案(工程方案、建设管理方案);（6）项目运营方案(运营模式选择、运营组织方案、安全保障方案，绩效管理方案);（7）项目投资与财务方案(投资估算、盈利能力分析、可持续性分析);（8）项目影响效果分析(经济影响分析、社会影响分析、生态环境影响分析、资源和能源利用效果分析、碳达峰碳中和分析);（9）项目风险管控方案（风险识别与评价、风险管控方案、风险应急预案）;（10）研究结论及建议（主要研究结论、问题与建议）。</w:t>
            </w:r>
          </w:p>
          <w:p>
            <w:pPr>
              <w:pStyle w:val="null3"/>
              <w:jc w:val="both"/>
            </w:pPr>
            <w:r>
              <w:rPr>
                <w:rFonts w:ascii="仿宋_GB2312" w:hAnsi="仿宋_GB2312" w:cs="仿宋_GB2312" w:eastAsia="仿宋_GB2312"/>
                <w:sz w:val="21"/>
              </w:rPr>
              <w:t>2、在采购人规定的时间内积极配合采购人对设计方案进行优化，接受采购人提出的建议和意见。供应商在项目完成期间与采购人、地方管理部门等单位进行充分沟通，维护国家、社会和采购人利益。同时，配合采购人进行文件报上级评审、申报、审批、答辩等工作。为采购人提供及时、周到、满意和诚信的服务。</w:t>
            </w:r>
          </w:p>
          <w:p>
            <w:pPr>
              <w:pStyle w:val="null3"/>
              <w:jc w:val="both"/>
            </w:pPr>
            <w:r>
              <w:rPr>
                <w:rFonts w:ascii="仿宋_GB2312" w:hAnsi="仿宋_GB2312" w:cs="仿宋_GB2312" w:eastAsia="仿宋_GB2312"/>
                <w:sz w:val="21"/>
              </w:rPr>
              <w:t>3、技术参考依据: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1）《国家发展改革委关于印发投资项目可行性研究报告编写大纲及说明的通知》（发改投资规〔2023〕304号）；</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2）《政府投资项目可行性研究报告编写参考大纲（2023年版）》；</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3）《投资项目可行性研究指南》，中国电力出版社，2002年；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4）建设项目经济评价方法与参数（第三版）；</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5）《陕西省“十四五”综合交通运输发展规划》（陕西省人民政府办公厅2021）；</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6）《陕西省公路“十四五”发展规划》（陕西省交通运输厅2022）；</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7）《陕西省普通干线公路养护应急中心规划建设指导意见》（陕公路发[2018]25 号）；</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8）《公路交通应急装备物资管理信息系统建设技术指南》（交通运输部2019）；</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9）《公路交通应急装备物资储备中心技术规范》 （JTGT 6420—2024）；</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10）《总图制图标准》（GB/T 50103-2010）；</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11）《民用建筑通用规范》（GB 55031-2022）；</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12）《民用建筑设计统一标准》（GB50352-2019）；</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13）《建筑防火通用规范》（GB 55037-2022）；</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14）《建筑设计防火规范》（GB50016-2014)2018年版；</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15）《办公建筑设计标准》（JGJT 67-2019）；</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16）《屋面工程技术规范》（GB50345-2012）；</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17）《公共建筑节能设计标准》（GB 50189-2015）；</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18）《民用建筑热工设计规范》（GB 50176-2016）；</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19）《建筑节能与可再生能源利用通用规范》（GB 55015-2021）；</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20）《建筑与市政工程无障碍通用规范》（GB 55019-2021）；</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21）《建筑环境通用规范》（GB 55016-2021）；</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22）国家颁布的有关政策、法规、法令、规范、定额、税费等文件；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23）采购人提供的其他相关资料。</w:t>
            </w:r>
          </w:p>
          <w:p>
            <w:pPr>
              <w:pStyle w:val="null3"/>
              <w:jc w:val="both"/>
            </w:pPr>
            <w:r>
              <w:rPr>
                <w:rFonts w:ascii="仿宋_GB2312" w:hAnsi="仿宋_GB2312" w:cs="仿宋_GB2312" w:eastAsia="仿宋_GB2312"/>
                <w:sz w:val="21"/>
              </w:rPr>
              <w:t>三、技术要求</w:t>
            </w:r>
          </w:p>
          <w:p>
            <w:pPr>
              <w:pStyle w:val="null3"/>
              <w:jc w:val="both"/>
            </w:pPr>
            <w:r>
              <w:rPr>
                <w:rFonts w:ascii="仿宋_GB2312" w:hAnsi="仿宋_GB2312" w:cs="仿宋_GB2312" w:eastAsia="仿宋_GB2312"/>
                <w:sz w:val="21"/>
              </w:rPr>
              <w:t>1.总平面布局在以实用为主的基础上，应充分考虑管理、运营等功能需求，做到分区明确，经济实用。</w:t>
            </w:r>
          </w:p>
          <w:p>
            <w:pPr>
              <w:pStyle w:val="null3"/>
              <w:jc w:val="both"/>
            </w:pPr>
            <w:r>
              <w:rPr>
                <w:rFonts w:ascii="仿宋_GB2312" w:hAnsi="仿宋_GB2312" w:cs="仿宋_GB2312" w:eastAsia="仿宋_GB2312"/>
                <w:sz w:val="21"/>
              </w:rPr>
              <w:t>2.设计应充分考虑功能定位，并结合当地自然、气候及环境条件，在满足使用要求的同时，力求便利性和舒适性。</w:t>
            </w:r>
          </w:p>
          <w:p>
            <w:pPr>
              <w:pStyle w:val="null3"/>
              <w:jc w:val="both"/>
            </w:pPr>
            <w:r>
              <w:rPr>
                <w:rFonts w:ascii="仿宋_GB2312" w:hAnsi="仿宋_GB2312" w:cs="仿宋_GB2312" w:eastAsia="仿宋_GB2312"/>
                <w:sz w:val="21"/>
              </w:rPr>
              <w:t>3.设计需结合用地周边的地形、地物情况，重点考虑建设的安全性及征地的可行性。</w:t>
            </w:r>
          </w:p>
          <w:p>
            <w:pPr>
              <w:pStyle w:val="null3"/>
              <w:jc w:val="both"/>
            </w:pPr>
            <w:r>
              <w:rPr>
                <w:rFonts w:ascii="仿宋_GB2312" w:hAnsi="仿宋_GB2312" w:cs="仿宋_GB2312" w:eastAsia="仿宋_GB2312"/>
                <w:sz w:val="21"/>
              </w:rPr>
              <w:t>4.建筑造型宜简洁大方，外观造型与色彩的处理应与周围环境协调，宜结合地方的自然地貌、历史人文，因地制宜地体现建筑的地域文化特征。</w:t>
            </w:r>
          </w:p>
          <w:p>
            <w:pPr>
              <w:pStyle w:val="null3"/>
              <w:jc w:val="both"/>
            </w:pPr>
            <w:r>
              <w:rPr>
                <w:rFonts w:ascii="仿宋_GB2312" w:hAnsi="仿宋_GB2312" w:cs="仿宋_GB2312" w:eastAsia="仿宋_GB2312"/>
                <w:sz w:val="21"/>
              </w:rPr>
              <w:t>5.设计应严格遵守国家现行规范及标准的规定。</w:t>
            </w:r>
          </w:p>
          <w:p>
            <w:pPr>
              <w:pStyle w:val="null3"/>
              <w:jc w:val="both"/>
            </w:pPr>
            <w:r>
              <w:rPr>
                <w:rFonts w:ascii="仿宋_GB2312" w:hAnsi="仿宋_GB2312" w:cs="仿宋_GB2312" w:eastAsia="仿宋_GB2312"/>
                <w:sz w:val="21"/>
              </w:rPr>
              <w:t>6.设计应充分考虑规划、消防、节能、绿建、人防、无障碍对设计的限定及制约。</w:t>
            </w:r>
          </w:p>
          <w:p>
            <w:pPr>
              <w:pStyle w:val="null3"/>
              <w:jc w:val="both"/>
            </w:pPr>
            <w:r>
              <w:rPr>
                <w:rFonts w:ascii="仿宋_GB2312" w:hAnsi="仿宋_GB2312" w:cs="仿宋_GB2312" w:eastAsia="仿宋_GB2312"/>
                <w:sz w:val="21"/>
              </w:rPr>
              <w:t>四、服务成果要求</w:t>
            </w:r>
          </w:p>
          <w:p>
            <w:pPr>
              <w:pStyle w:val="null3"/>
              <w:jc w:val="both"/>
            </w:pPr>
            <w:r>
              <w:rPr>
                <w:rFonts w:ascii="仿宋_GB2312" w:hAnsi="仿宋_GB2312" w:cs="仿宋_GB2312" w:eastAsia="仿宋_GB2312"/>
                <w:sz w:val="21"/>
              </w:rPr>
              <w:t>1.提交获得有关主管部门批准通过的陕南区域公路交通应急装备物资储备中心工程可行性研究报告纸质版(6份)。</w:t>
            </w:r>
          </w:p>
          <w:p>
            <w:pPr>
              <w:pStyle w:val="null3"/>
              <w:jc w:val="both"/>
            </w:pPr>
            <w:r>
              <w:rPr>
                <w:rFonts w:ascii="仿宋_GB2312" w:hAnsi="仿宋_GB2312" w:cs="仿宋_GB2312" w:eastAsia="仿宋_GB2312"/>
                <w:sz w:val="21"/>
              </w:rPr>
              <w:t>2.提交获得有关主管部门批准通过的陕南区域公路交通应急装备物资储备中心工程可行性研究报告(1份)及过程中产出的相关材料，包括但不限于附表、附图和附件等。相关资料知识产权归采购人所有。</w:t>
            </w:r>
          </w:p>
          <w:p>
            <w:pPr>
              <w:pStyle w:val="null3"/>
              <w:jc w:val="both"/>
            </w:pPr>
            <w:r>
              <w:rPr>
                <w:rFonts w:ascii="仿宋_GB2312" w:hAnsi="仿宋_GB2312" w:cs="仿宋_GB2312" w:eastAsia="仿宋_GB2312"/>
                <w:sz w:val="21"/>
              </w:rPr>
              <w:t>3.满足国家及陕西省现行的有关政策、法律、法规、规程、规范和标准等。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自合同签订之日起3个月内完成陕南区域公路交通应急装备物资储备中心工程可行性研究报告编制并提交甲方。完成合同约定全部内容即可提交履约验收。 乙方为本合同项目提供的服务至本项目编制成果经甲方及有关主管部门审查通过为止。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1.供应商完成合同约定的全部内容，并向采购人提交项目实施过程中的所有资料,以便采购人日后管理和维护该项目。各项成果资料满足国家现行的相关技术标准、规范、规程等以及我省公路管理相关规定。 2.采购人确认供应商能够达到合同约定要求后，组织供应商（必要时邀请第三方专家）进行项目验收。供应商提交合同履约情况总结报告，并经采购人确认。验收合格后，填写项目验收单作为对项目的最终认可。 3.验收依据：①本合同及附件文本；②磋商文件、响应文件；③国家相应的标准、规范。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合同签订后，甲方收到履约保证金及增值税普通发票后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乙方完成合同全部内容，提交最终项目成果报告后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3.因省财政年度预算拨款等政策要求，甲方向乙方支付全部合同价款不视为双方合同履约结束，乙方仍应按照合同约定，完成全部工作内容，否则将视为乙方存在严重失信行为，甲方将上报省财政厅，将乙方列入信用“黑名单”，并在“中国政府采购网”、“信用中国”等网站公示；同时甲方保留要求乙方退还合同价款、赔偿损失的权利。 4.乙方逾期完成服务的，每逾期一日，向甲方承担合同总价款0.3%的违约金，逾期30日的，甲方有权单方解除本合同且保留追究乙方违约责任的权利，给甲方造成损失的，乙方还应予以赔偿。 5.乙方完成的工作成果未通过甲方验收的，乙方应按照甲方的要求无条件进行修改，修改2次以上仍不合格，甲方有权单方面解除本合同，乙方应无条件退还已收取的全部合同价款，并按合同总价的10%向甲方支付违约金，违约金不足以弥补甲方损失的，乙方还应予以补足。 6.乙方应保证其提交的服务成果不存在侵犯他人权益的情形，否则，因此引发的责任及纠纷由乙方承担，对甲方造成损失的，乙方应予以赔偿，此外，乙方还应向甲方承担合同总价款20%的惩罚性违约金。 7.乙方应对其服务及服务成果的合法性、科学性、有效性、客观性、真实性负责，否则，相关责任及纠纷由乙方承担，对甲方造成损失的，乙方应予赔偿，此外，乙方还应向甲方承担合同总价款10%的违约金。 8.若乙方违反合同约定，除按照合同约定承担违约金外，对甲方造成损失的，乙方还应予以赔偿。若合同因乙方违约导致解除的，乙方除应承担违约责任赔偿甲方损失外，已收的款项应退还甲方。甲方因乙方违约而产生的维权费用，包括但不限于诉讼费、律师费、保全费、鉴定费、评估费、公证费、差旅费等费用，均由乙方承担。 争议解决: 在执行本合同中发生的或与本合同有关的争端，双方应通过友好协商解决，经协商无法解决的，应向甲方所在地有管理权限的人民法院提请诉讼。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①具有独立承担民事责任能力的法人、其他组织或自然人，提供合法有效的统一社会信用代码营业执 照（事业单位法人证书/专业服务机构执业许可证/民办非企业单位登记证书，自然人提供身份 证）； ②税收缴纳证明：法人提供磋商截止日前一年内任意一个月的纳税证明或完税证明， 纳税证明或完税证明上应有代收机构或税务机关的公章或业务专用章；其他组织和自然人提供 磋商截止日前一年内任意一个月缴纳税收的凭据；依法免税的或者依法不需缴税的供应商应提 供相关文件证明； ③社会保障资金缴纳证明：提供磋商截止日前一年内任意一个月已缴纳的 社会保障资金的证明（社会保障资金缴存单据或社保机构开具的社会保险参保缴费情况证明等 ）；依法不需要缴纳社会保障资金的供应商应提供相关文件证明； ④提供具有履行本合同所 必需的设备和专业技术能力的声明； ⑤参加本次政府采购活动前3年内在经营活动中没有重大 违纪，以及未被列入失信被执行人、重大税收违法案件当事人名单、政府采购严重违法失信行 为记录名单的书面声明；供应商需在项目电子化交易系统中按要求上传相应证明文件并进行电 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财务状况报告：法人提供会计师事务所出具的有效的2023年度或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法定代表人身份证复印件/法定代表人授权委托书</w:t>
            </w:r>
          </w:p>
        </w:tc>
        <w:tc>
          <w:tcPr>
            <w:tcW w:type="dxa" w:w="3322"/>
          </w:tcPr>
          <w:p>
            <w:pPr>
              <w:pStyle w:val="null3"/>
            </w:pPr>
            <w:r>
              <w:rPr>
                <w:rFonts w:ascii="仿宋_GB2312" w:hAnsi="仿宋_GB2312" w:cs="仿宋_GB2312" w:eastAsia="仿宋_GB2312"/>
              </w:rPr>
              <w:t>1)法定代表人参加磋商的，提供法定代表人身份证复印件；2)法定代表人委托代理人参加磋商的，提供法定代表人授权委托书（附法定代表人身份证复印件及被授权委托人身份证复印件）。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供应商未被省级及以上交通运输主管部门限制进入公路建养市场，且不在处罚有效期内（提供承诺）。</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完整无缺项，未超过最高限价(单价限价)， 无选择性报价。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磋商响应文件的签字盖章合格有效</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完全理解并响应磋商文件合同条款的要求，且未含有采购人不能接受的附加条件的。</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符合磋商文件的实质性要求</w:t>
            </w:r>
          </w:p>
        </w:tc>
        <w:tc>
          <w:tcPr>
            <w:tcW w:type="dxa" w:w="3322"/>
          </w:tcPr>
          <w:p>
            <w:pPr>
              <w:pStyle w:val="null3"/>
            </w:pPr>
            <w:r>
              <w:rPr>
                <w:rFonts w:ascii="仿宋_GB2312" w:hAnsi="仿宋_GB2312" w:cs="仿宋_GB2312" w:eastAsia="仿宋_GB2312"/>
              </w:rPr>
              <w:t>符合磋商文件的实质性要求</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不属于磋商文件规定的无效情形</w:t>
            </w:r>
          </w:p>
        </w:tc>
        <w:tc>
          <w:tcPr>
            <w:tcW w:type="dxa" w:w="3322"/>
          </w:tcPr>
          <w:p>
            <w:pPr>
              <w:pStyle w:val="null3"/>
            </w:pPr>
            <w:r>
              <w:rPr>
                <w:rFonts w:ascii="仿宋_GB2312" w:hAnsi="仿宋_GB2312" w:cs="仿宋_GB2312" w:eastAsia="仿宋_GB2312"/>
              </w:rPr>
              <w:t>供应商按照采购文件要求上传磋商响应文件</w:t>
            </w:r>
          </w:p>
        </w:tc>
        <w:tc>
          <w:tcPr>
            <w:tcW w:type="dxa" w:w="1661"/>
          </w:tcPr>
          <w:p>
            <w:pPr>
              <w:pStyle w:val="null3"/>
            </w:pPr>
            <w:r>
              <w:rPr>
                <w:rFonts w:ascii="仿宋_GB2312" w:hAnsi="仿宋_GB2312" w:cs="仿宋_GB2312" w:eastAsia="仿宋_GB2312"/>
              </w:rPr>
              <w:t>服务条款偏离表.docx 商务条款偏离表.docx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对可行性研究报告编制工作内容进行了详细的分析和策划： 1.方案内容全面具体、针对性强、逻辑严谨、部署科学，得10分； 2.方案内容较为全面、针对性较强、部署较为科学；得8分； 3.方案内容一般、有针对性、可操作性可行性一般，得6分 ； 4.方案内容较笼统、欠缺针对性，得4分； 5.方案内容空洞，欠缺针对性、实操性，得2分； 6.未提供相应方案不得分。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总体思路和理念</w:t>
            </w:r>
          </w:p>
        </w:tc>
        <w:tc>
          <w:tcPr>
            <w:tcW w:type="dxa" w:w="2492"/>
          </w:tcPr>
          <w:p>
            <w:pPr>
              <w:pStyle w:val="null3"/>
            </w:pPr>
            <w:r>
              <w:rPr>
                <w:rFonts w:ascii="仿宋_GB2312" w:hAnsi="仿宋_GB2312" w:cs="仿宋_GB2312" w:eastAsia="仿宋_GB2312"/>
              </w:rPr>
              <w:t>可行性研究报告编制工作的总体思路和理念具有科学性、先进性、合理性： 1.总体思路和理念科学、先进、合理，对各专业工程技术咨询特点理解到位，得10分； 2.总体思路和理念较科学、较先进、较合理，对各专业工程技术咨询特点理解较好，得8分； 3.总体思路和理念一般，对各专业工程技术咨询特点理解基本满足要求，得6分； 4.总体思路和理念简单，得4分。 5.总体思路和理念简单、有缺失，得2分。 6.未提供或其他得0分。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编制内容</w:t>
            </w:r>
          </w:p>
        </w:tc>
        <w:tc>
          <w:tcPr>
            <w:tcW w:type="dxa" w:w="2492"/>
          </w:tcPr>
          <w:p>
            <w:pPr>
              <w:pStyle w:val="null3"/>
            </w:pPr>
            <w:r>
              <w:rPr>
                <w:rFonts w:ascii="仿宋_GB2312" w:hAnsi="仿宋_GB2312" w:cs="仿宋_GB2312" w:eastAsia="仿宋_GB2312"/>
              </w:rPr>
              <w:t>根据供应商提供的可行性研究报告的编制内容，满足采购人基本需求，并且从梳理分析国家、陕西省的相关要求，结合项目需求，编制大纲、收集整理有关资料、开展调查研究等方面： 1.服务工作解读准确、到位，合理分析其主要内容的，得10分 2.服务工作解读较准确、到位，合理分析其主要内容的，得8分； 3.服务工作解读基本准确、到位，合理分析其主要内容的，得6分； 4.服务工作能基本解读内容、只进行了概要分析的，得4分； 5.服务工作分析目标不明确，对项目理解不透彻或分析不合理的，得2分。 6.未提供或其他得0分。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重点、难点、分析对策</w:t>
            </w:r>
          </w:p>
        </w:tc>
        <w:tc>
          <w:tcPr>
            <w:tcW w:type="dxa" w:w="2492"/>
          </w:tcPr>
          <w:p>
            <w:pPr>
              <w:pStyle w:val="null3"/>
            </w:pPr>
            <w:r>
              <w:rPr>
                <w:rFonts w:ascii="仿宋_GB2312" w:hAnsi="仿宋_GB2312" w:cs="仿宋_GB2312" w:eastAsia="仿宋_GB2312"/>
              </w:rPr>
              <w:t>根据供应商对项目重点难点的分析，能够准确指出重点、难点，分析对策： 1.思路明确，充分考虑本项目实际情况，得5分； 2.思路较明确，能够考虑本项目实际情况，得4分； 3.思路基本明确，基本能够考虑本项目实际情况，得3分； 4.思路较明确，未考虑本项目实际情况，得2分； 5.思路混乱，项目情况不清楚，未考虑本项目实际情况得1分。 未提供或其他得0分。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项目进度计划及保证措施</w:t>
            </w:r>
          </w:p>
        </w:tc>
        <w:tc>
          <w:tcPr>
            <w:tcW w:type="dxa" w:w="2492"/>
          </w:tcPr>
          <w:p>
            <w:pPr>
              <w:pStyle w:val="null3"/>
            </w:pPr>
            <w:r>
              <w:rPr>
                <w:rFonts w:ascii="仿宋_GB2312" w:hAnsi="仿宋_GB2312" w:cs="仿宋_GB2312" w:eastAsia="仿宋_GB2312"/>
              </w:rPr>
              <w:t>根据供应商提供的项目进度计划及保证措施，从进度计划安排、节点清晰、控制措施合理等方面： 1.内容完整、合理，得5分； 2.内容较完整、较合理，得4分； 3.内容基本完整、合理，得3分； 4.内容简单，得2分； 5.内容有缺失，得1分； 未提供或其他的，得0分。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服务保障承诺</w:t>
            </w:r>
          </w:p>
        </w:tc>
        <w:tc>
          <w:tcPr>
            <w:tcW w:type="dxa" w:w="2492"/>
          </w:tcPr>
          <w:p>
            <w:pPr>
              <w:pStyle w:val="null3"/>
            </w:pPr>
            <w:r>
              <w:rPr>
                <w:rFonts w:ascii="仿宋_GB2312" w:hAnsi="仿宋_GB2312" w:cs="仿宋_GB2312" w:eastAsia="仿宋_GB2312"/>
              </w:rPr>
              <w:t>1.后续服务保障全面、应对措施完整可行，得5分； 2.后续服务保障较全面、应对措施较完整可行，得4分； 3.后续服务保障一般，应对措施基本可行，得3分； 4.后续服务保障不完善，应对措施可行性差，得2分； 5.后续服务保障及应对措施有缺失，不具有可行性，得1分； 6.未提供此项得0分。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1.拟派项目负责人具有建筑工程相关专业高级技术职称证书，计5分；具有建筑工程相关专业中级技术职称证书，得3分；其他不计分。 2.2022年01月01日至响应文件提交时间截止前（以合同签订日期为准），累计担任过1项公路设施（建筑）相关业绩项目负责人，每有1项计2.5分，最多得5分。 注：均须提供证明材料，包括但不限于职称证书、合同文件或履约证明等相关证明文件复印件。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项目团队及主要参与人员证书</w:t>
            </w:r>
          </w:p>
        </w:tc>
        <w:tc>
          <w:tcPr>
            <w:tcW w:type="dxa" w:w="2492"/>
          </w:tcPr>
          <w:p>
            <w:pPr>
              <w:pStyle w:val="null3"/>
            </w:pPr>
            <w:r>
              <w:rPr>
                <w:rFonts w:ascii="仿宋_GB2312" w:hAnsi="仿宋_GB2312" w:cs="仿宋_GB2312" w:eastAsia="仿宋_GB2312"/>
              </w:rPr>
              <w:t>1.具备工程咨询协会颁发的工程资信甲级证书（建筑、公路）专业，每有一项得3分；满分6分。 2.团队人员不少于4名，得2分，每增加1名加0.5分，最多加2分；满分4分。 3具有建筑或公路相关专业中级及以上技术职称证书，每个证书计2分，满分10分。 注：均须提供证明材料，包括但不限于资信证书、职称证书、合同文件或履约证明等相关证明文件复印件。否则不得分。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供应商提供近三年（2022年01月01日至响应文件提交时间截止前）类似业绩，每个2分，最高得10分。 注：需提供业绩合同复印件并加盖公章、否则不得分。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关于加强政府采购货物和服务项目价格评审管理的通知》（财库[2007]2号）的有关规定：价格分采用低价优先法计算，即满足磋商文件要求且磋商报价最低的磋商报价为评审基准价，其价格分为满分。其他供应商的价格分统一按照下列公式计算： 磋商报价得分=（评审基准价/磋商报价）×价格权值×100；计算分数时四舍五入取小数点后两位。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详见附件：服务条款偏离表.docx</w:t>
      </w:r>
    </w:p>
    <w:p>
      <w:pPr>
        <w:pStyle w:val="null3"/>
        <w:ind w:firstLine="960"/>
      </w:pPr>
      <w:r>
        <w:rPr>
          <w:rFonts w:ascii="仿宋_GB2312" w:hAnsi="仿宋_GB2312" w:cs="仿宋_GB2312" w:eastAsia="仿宋_GB2312"/>
        </w:rPr>
        <w:t>详见附件：磋商响应方案说明书.docx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