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A8B36">
      <w:pPr>
        <w:pStyle w:val="6"/>
        <w:jc w:val="center"/>
        <w:outlineLvl w:val="1"/>
        <w:rPr>
          <w:rFonts w:hint="eastAsia" w:ascii="宋体" w:hAnsi="宋体" w:eastAsia="宋体" w:cs="宋体"/>
          <w:color w:val="auto"/>
          <w:highlight w:val="none"/>
        </w:rPr>
      </w:pPr>
      <w:bookmarkStart w:id="0" w:name="_GoBack"/>
      <w:r>
        <w:rPr>
          <w:rFonts w:hint="eastAsia" w:ascii="宋体" w:hAnsi="宋体" w:eastAsia="宋体" w:cs="宋体"/>
          <w:b/>
          <w:color w:val="auto"/>
          <w:sz w:val="36"/>
          <w:highlight w:val="none"/>
        </w:rPr>
        <w:t>拟签订采购合同文本</w:t>
      </w:r>
    </w:p>
    <w:bookmarkEnd w:id="0"/>
    <w:p w14:paraId="494C0425">
      <w:pPr>
        <w:adjustRightInd w:val="0"/>
        <w:snapToGrid w:val="0"/>
        <w:spacing w:line="360" w:lineRule="auto"/>
        <w:jc w:val="center"/>
        <w:rPr>
          <w:rFonts w:hint="eastAsia" w:ascii="宋体" w:hAnsi="宋体" w:eastAsia="宋体" w:cs="宋体"/>
          <w:b/>
          <w:bCs/>
          <w:color w:val="auto"/>
          <w:sz w:val="24"/>
          <w:szCs w:val="24"/>
          <w:highlight w:val="none"/>
        </w:rPr>
      </w:pPr>
    </w:p>
    <w:p w14:paraId="5C432BE5">
      <w:pP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（本合同仅供参考，以实际签订合同为准）</w:t>
      </w:r>
    </w:p>
    <w:p w14:paraId="12DE544E">
      <w:pPr>
        <w:spacing w:line="324" w:lineRule="auto"/>
        <w:jc w:val="left"/>
        <w:rPr>
          <w:rFonts w:hint="eastAsia" w:ascii="Times New Roman" w:hAnsi="宋体" w:eastAsia="宋体" w:cs="宋体"/>
          <w:b/>
          <w:bCs/>
          <w:color w:val="auto"/>
          <w:sz w:val="30"/>
          <w:szCs w:val="30"/>
          <w:highlight w:val="none"/>
          <w:lang w:val="en-US" w:eastAsia="zh-CN"/>
        </w:rPr>
      </w:pPr>
    </w:p>
    <w:p w14:paraId="194AD3CB">
      <w:pPr>
        <w:spacing w:line="324" w:lineRule="auto"/>
        <w:jc w:val="left"/>
        <w:rPr>
          <w:rFonts w:hint="eastAsia" w:ascii="Times New Roman" w:hAnsi="宋体" w:eastAsia="宋体" w:cs="宋体"/>
          <w:b/>
          <w:bCs/>
          <w:color w:val="auto"/>
          <w:sz w:val="24"/>
          <w:szCs w:val="24"/>
          <w:highlight w:val="none"/>
          <w:lang w:val="en-US" w:eastAsia="zh-CN"/>
        </w:rPr>
      </w:pPr>
    </w:p>
    <w:p w14:paraId="4E22E264">
      <w:pPr>
        <w:spacing w:line="324" w:lineRule="auto"/>
        <w:jc w:val="left"/>
        <w:rPr>
          <w:rFonts w:hint="eastAsia" w:ascii="Times New Roman" w:hAnsi="宋体" w:eastAsia="宋体" w:cs="宋体"/>
          <w:b/>
          <w:bCs/>
          <w:color w:val="auto"/>
          <w:sz w:val="24"/>
          <w:szCs w:val="24"/>
          <w:highlight w:val="none"/>
          <w:lang w:val="en-US" w:eastAsia="zh-CN"/>
        </w:rPr>
      </w:pPr>
    </w:p>
    <w:p w14:paraId="774AEB98">
      <w:pPr>
        <w:spacing w:line="324" w:lineRule="auto"/>
        <w:jc w:val="left"/>
        <w:rPr>
          <w:rFonts w:hint="eastAsia" w:ascii="Times New Roman" w:hAnsi="宋体" w:eastAsia="宋体" w:cs="宋体"/>
          <w:b/>
          <w:bCs/>
          <w:color w:val="auto"/>
          <w:sz w:val="24"/>
          <w:szCs w:val="24"/>
          <w:highlight w:val="none"/>
          <w:lang w:val="en-US" w:eastAsia="zh-CN"/>
        </w:rPr>
      </w:pPr>
      <w:r>
        <w:rPr>
          <w:rFonts w:hint="eastAsia" w:ascii="Times New Roman" w:hAnsi="宋体" w:eastAsia="宋体" w:cs="宋体"/>
          <w:b/>
          <w:bCs/>
          <w:color w:val="auto"/>
          <w:sz w:val="24"/>
          <w:szCs w:val="24"/>
          <w:highlight w:val="none"/>
          <w:lang w:val="en-US" w:eastAsia="zh-CN"/>
        </w:rPr>
        <w:t>政府采购合同                        合同编号：</w:t>
      </w:r>
    </w:p>
    <w:p w14:paraId="143917CE">
      <w:pPr>
        <w:widowControl w:val="0"/>
        <w:spacing w:line="324" w:lineRule="auto"/>
        <w:jc w:val="both"/>
        <w:rPr>
          <w:rFonts w:hint="eastAsia" w:ascii="Times New Roman" w:hAnsi="宋体" w:eastAsia="宋体" w:cs="宋体"/>
          <w:b/>
          <w:bCs/>
          <w:color w:val="auto"/>
          <w:kern w:val="2"/>
          <w:sz w:val="24"/>
          <w:szCs w:val="24"/>
          <w:highlight w:val="none"/>
          <w:lang w:val="en-US" w:eastAsia="zh-CN" w:bidi="ar-SA"/>
        </w:rPr>
      </w:pPr>
    </w:p>
    <w:p w14:paraId="3CB899D0">
      <w:pPr>
        <w:widowControl w:val="0"/>
        <w:spacing w:line="324" w:lineRule="auto"/>
        <w:jc w:val="both"/>
        <w:rPr>
          <w:rFonts w:hint="eastAsia" w:ascii="Times New Roman" w:hAnsi="宋体" w:eastAsia="宋体" w:cs="宋体"/>
          <w:b/>
          <w:bCs/>
          <w:color w:val="auto"/>
          <w:kern w:val="2"/>
          <w:sz w:val="24"/>
          <w:szCs w:val="24"/>
          <w:highlight w:val="none"/>
          <w:lang w:val="en-US" w:eastAsia="zh-CN" w:bidi="ar-SA"/>
        </w:rPr>
      </w:pPr>
    </w:p>
    <w:p w14:paraId="551FBD28">
      <w:pPr>
        <w:widowControl w:val="0"/>
        <w:spacing w:line="324" w:lineRule="auto"/>
        <w:jc w:val="both"/>
        <w:rPr>
          <w:rFonts w:hint="eastAsia" w:ascii="Times New Roman" w:hAnsi="Times New Roman" w:eastAsia="宋体" w:cs="Times New Roman"/>
          <w:color w:val="auto"/>
          <w:kern w:val="2"/>
          <w:sz w:val="21"/>
          <w:szCs w:val="21"/>
          <w:highlight w:val="none"/>
          <w:lang w:val="en-US" w:eastAsia="zh-CN" w:bidi="ar-SA"/>
        </w:rPr>
      </w:pPr>
    </w:p>
    <w:p w14:paraId="4B0BCF6A">
      <w:pPr>
        <w:spacing w:line="324" w:lineRule="auto"/>
        <w:jc w:val="center"/>
        <w:rPr>
          <w:rFonts w:hint="eastAsia" w:ascii="Times New Roman" w:hAnsi="宋体" w:eastAsia="宋体" w:cs="宋体"/>
          <w:b/>
          <w:bCs/>
          <w:color w:val="auto"/>
          <w:sz w:val="36"/>
          <w:szCs w:val="36"/>
          <w:highlight w:val="none"/>
        </w:rPr>
      </w:pPr>
      <w:r>
        <w:rPr>
          <w:rFonts w:hint="eastAsia" w:ascii="Times New Roman" w:hAnsi="宋体" w:eastAsia="宋体" w:cs="宋体"/>
          <w:b/>
          <w:bCs/>
          <w:color w:val="auto"/>
          <w:sz w:val="36"/>
          <w:szCs w:val="36"/>
          <w:highlight w:val="none"/>
          <w:u w:val="single"/>
          <w:lang w:val="en-US" w:eastAsia="zh-CN"/>
        </w:rPr>
        <w:t xml:space="preserve">                     </w:t>
      </w:r>
      <w:r>
        <w:rPr>
          <w:rFonts w:hint="eastAsia" w:ascii="Times New Roman" w:hAnsi="宋体" w:eastAsia="宋体" w:cs="宋体"/>
          <w:b/>
          <w:bCs/>
          <w:color w:val="auto"/>
          <w:sz w:val="36"/>
          <w:szCs w:val="36"/>
          <w:highlight w:val="none"/>
          <w:u w:val="none"/>
          <w:lang w:val="en-US" w:eastAsia="zh-CN"/>
        </w:rPr>
        <w:t>采购</w:t>
      </w:r>
      <w:r>
        <w:rPr>
          <w:rFonts w:hint="eastAsia" w:ascii="Times New Roman" w:hAnsi="宋体" w:eastAsia="宋体" w:cs="宋体"/>
          <w:b/>
          <w:bCs/>
          <w:color w:val="auto"/>
          <w:sz w:val="36"/>
          <w:szCs w:val="36"/>
          <w:highlight w:val="none"/>
        </w:rPr>
        <w:t>项目</w:t>
      </w:r>
      <w:r>
        <w:rPr>
          <w:rFonts w:hint="eastAsia" w:ascii="Times New Roman" w:hAnsi="宋体" w:eastAsia="宋体" w:cs="宋体"/>
          <w:b/>
          <w:bCs/>
          <w:color w:val="auto"/>
          <w:sz w:val="36"/>
          <w:szCs w:val="36"/>
          <w:highlight w:val="none"/>
          <w:u w:val="single"/>
          <w:lang w:val="en-US" w:eastAsia="zh-CN"/>
        </w:rPr>
        <w:t xml:space="preserve">    </w:t>
      </w:r>
      <w:r>
        <w:rPr>
          <w:rFonts w:hint="eastAsia" w:ascii="Times New Roman" w:hAnsi="宋体" w:eastAsia="宋体" w:cs="宋体"/>
          <w:b/>
          <w:bCs/>
          <w:color w:val="auto"/>
          <w:sz w:val="36"/>
          <w:szCs w:val="36"/>
          <w:highlight w:val="none"/>
          <w:u w:val="none"/>
          <w:lang w:val="en-US" w:eastAsia="zh-CN"/>
        </w:rPr>
        <w:t>标段</w:t>
      </w:r>
    </w:p>
    <w:p w14:paraId="13C24CAF">
      <w:pPr>
        <w:spacing w:line="324" w:lineRule="auto"/>
        <w:rPr>
          <w:rFonts w:hint="eastAsia" w:ascii="Times New Roman" w:hAnsi="宋体" w:eastAsia="宋体" w:cs="宋体"/>
          <w:color w:val="auto"/>
          <w:sz w:val="18"/>
          <w:szCs w:val="21"/>
          <w:highlight w:val="none"/>
        </w:rPr>
      </w:pPr>
    </w:p>
    <w:p w14:paraId="35A0D9E7">
      <w:pPr>
        <w:spacing w:line="324" w:lineRule="auto"/>
        <w:rPr>
          <w:rFonts w:hint="eastAsia" w:ascii="Times New Roman" w:hAnsi="宋体" w:eastAsia="宋体" w:cs="宋体"/>
          <w:color w:val="auto"/>
          <w:sz w:val="18"/>
          <w:szCs w:val="21"/>
          <w:highlight w:val="none"/>
        </w:rPr>
      </w:pPr>
    </w:p>
    <w:p w14:paraId="141193A2">
      <w:pPr>
        <w:widowControl w:val="0"/>
        <w:spacing w:line="324" w:lineRule="auto"/>
        <w:jc w:val="both"/>
        <w:rPr>
          <w:rFonts w:hint="eastAsia" w:ascii="Times New Roman" w:hAnsi="Times New Roman" w:eastAsia="宋体" w:cs="Times New Roman"/>
          <w:color w:val="auto"/>
          <w:kern w:val="2"/>
          <w:sz w:val="21"/>
          <w:szCs w:val="21"/>
          <w:highlight w:val="none"/>
          <w:lang w:val="en-US" w:eastAsia="zh-CN" w:bidi="ar-SA"/>
        </w:rPr>
      </w:pPr>
    </w:p>
    <w:p w14:paraId="4C291BBA">
      <w:pPr>
        <w:widowControl w:val="0"/>
        <w:spacing w:line="324" w:lineRule="auto"/>
        <w:jc w:val="both"/>
        <w:rPr>
          <w:rFonts w:hint="eastAsia" w:ascii="Times New Roman" w:hAnsi="Times New Roman" w:eastAsia="宋体" w:cs="Times New Roman"/>
          <w:color w:val="auto"/>
          <w:kern w:val="2"/>
          <w:sz w:val="21"/>
          <w:szCs w:val="21"/>
          <w:highlight w:val="none"/>
          <w:lang w:val="en-US" w:eastAsia="zh-CN" w:bidi="ar-SA"/>
        </w:rPr>
      </w:pPr>
    </w:p>
    <w:p w14:paraId="4D835C78">
      <w:pPr>
        <w:spacing w:line="324" w:lineRule="auto"/>
        <w:rPr>
          <w:rFonts w:hint="eastAsia" w:ascii="Times New Roman" w:hAnsi="宋体" w:eastAsia="宋体" w:cs="宋体"/>
          <w:color w:val="auto"/>
          <w:sz w:val="18"/>
          <w:szCs w:val="21"/>
          <w:highlight w:val="none"/>
        </w:rPr>
      </w:pPr>
    </w:p>
    <w:p w14:paraId="2692C36A">
      <w:pPr>
        <w:spacing w:line="324" w:lineRule="auto"/>
        <w:rPr>
          <w:rFonts w:hint="eastAsia" w:ascii="Times New Roman" w:hAnsi="宋体" w:eastAsia="宋体" w:cs="宋体"/>
          <w:color w:val="auto"/>
          <w:sz w:val="18"/>
          <w:szCs w:val="21"/>
          <w:highlight w:val="none"/>
        </w:rPr>
      </w:pPr>
    </w:p>
    <w:p w14:paraId="7A5D8CF1">
      <w:pPr>
        <w:spacing w:line="324" w:lineRule="auto"/>
        <w:jc w:val="center"/>
        <w:rPr>
          <w:rFonts w:hint="eastAsia" w:ascii="Times New Roman" w:hAnsi="宋体" w:eastAsia="宋体" w:cs="宋体"/>
          <w:b/>
          <w:color w:val="auto"/>
          <w:sz w:val="28"/>
          <w:szCs w:val="28"/>
          <w:highlight w:val="none"/>
        </w:rPr>
      </w:pPr>
      <w:r>
        <w:rPr>
          <w:rFonts w:hint="eastAsia" w:ascii="Times New Roman" w:hAnsi="宋体" w:eastAsia="宋体" w:cs="宋体"/>
          <w:b/>
          <w:color w:val="auto"/>
          <w:sz w:val="28"/>
          <w:szCs w:val="28"/>
          <w:highlight w:val="none"/>
        </w:rPr>
        <w:t>（示范文本）</w:t>
      </w:r>
    </w:p>
    <w:p w14:paraId="29AEE933">
      <w:pPr>
        <w:spacing w:line="324" w:lineRule="auto"/>
        <w:jc w:val="center"/>
        <w:rPr>
          <w:rFonts w:hint="eastAsia" w:ascii="Times New Roman" w:hAnsi="宋体" w:eastAsia="宋体" w:cs="宋体"/>
          <w:b/>
          <w:color w:val="auto"/>
          <w:sz w:val="28"/>
          <w:szCs w:val="28"/>
          <w:highlight w:val="none"/>
        </w:rPr>
      </w:pPr>
    </w:p>
    <w:p w14:paraId="5804C1A9">
      <w:pPr>
        <w:spacing w:before="163" w:beforeLines="50" w:line="360" w:lineRule="auto"/>
        <w:rPr>
          <w:rFonts w:hint="eastAsia" w:ascii="Times New Roman" w:hAnsi="宋体" w:eastAsia="宋体" w:cs="宋体"/>
          <w:bCs/>
          <w:color w:val="auto"/>
          <w:sz w:val="40"/>
          <w:szCs w:val="40"/>
          <w:highlight w:val="none"/>
        </w:rPr>
      </w:pPr>
    </w:p>
    <w:p w14:paraId="0B3D440F">
      <w:pPr>
        <w:spacing w:before="163" w:beforeLines="50" w:line="360" w:lineRule="auto"/>
        <w:jc w:val="center"/>
        <w:rPr>
          <w:rFonts w:hint="eastAsia" w:ascii="Times New Roman" w:hAnsi="宋体" w:eastAsia="宋体" w:cs="宋体"/>
          <w:b/>
          <w:bCs/>
          <w:color w:val="auto"/>
          <w:sz w:val="28"/>
          <w:szCs w:val="28"/>
          <w:highlight w:val="none"/>
        </w:rPr>
      </w:pPr>
    </w:p>
    <w:p w14:paraId="03FA66C1">
      <w:pPr>
        <w:spacing w:before="163" w:beforeLines="50" w:line="360" w:lineRule="auto"/>
        <w:ind w:left="0" w:leftChars="0" w:firstLine="947" w:firstLineChars="393"/>
        <w:jc w:val="left"/>
        <w:rPr>
          <w:rFonts w:hint="eastAsia" w:ascii="Times New Roman" w:hAnsi="宋体" w:eastAsia="宋体" w:cs="宋体"/>
          <w:b/>
          <w:bCs/>
          <w:color w:val="auto"/>
          <w:sz w:val="24"/>
          <w:szCs w:val="24"/>
          <w:highlight w:val="none"/>
          <w:lang w:val="en-US" w:eastAsia="zh-CN"/>
        </w:rPr>
      </w:pPr>
      <w:r>
        <w:rPr>
          <w:rFonts w:hint="eastAsia" w:ascii="Times New Roman" w:hAnsi="宋体" w:eastAsia="宋体" w:cs="宋体"/>
          <w:b/>
          <w:bCs/>
          <w:color w:val="auto"/>
          <w:sz w:val="24"/>
          <w:szCs w:val="24"/>
          <w:highlight w:val="none"/>
          <w:lang w:val="en-US" w:eastAsia="zh-CN"/>
        </w:rPr>
        <w:t>采购人： 陕西省公路局</w:t>
      </w:r>
    </w:p>
    <w:p w14:paraId="11A8FE2A">
      <w:pPr>
        <w:spacing w:before="163" w:beforeLines="50" w:line="360" w:lineRule="auto"/>
        <w:ind w:left="0" w:leftChars="0" w:firstLine="947" w:firstLineChars="393"/>
        <w:jc w:val="left"/>
        <w:rPr>
          <w:rFonts w:hint="eastAsia" w:ascii="Times New Roman" w:hAnsi="宋体" w:eastAsia="宋体" w:cs="宋体"/>
          <w:b/>
          <w:bCs/>
          <w:color w:val="auto"/>
          <w:sz w:val="24"/>
          <w:szCs w:val="24"/>
          <w:highlight w:val="none"/>
          <w:lang w:val="en-US" w:eastAsia="zh-CN"/>
        </w:rPr>
      </w:pPr>
      <w:r>
        <w:rPr>
          <w:rFonts w:hint="eastAsia" w:ascii="Times New Roman" w:hAnsi="宋体" w:eastAsia="宋体" w:cs="宋体"/>
          <w:b/>
          <w:bCs/>
          <w:color w:val="auto"/>
          <w:sz w:val="24"/>
          <w:szCs w:val="24"/>
          <w:highlight w:val="none"/>
          <w:lang w:val="en-US" w:eastAsia="zh-CN"/>
        </w:rPr>
        <w:t>供应商：</w:t>
      </w:r>
    </w:p>
    <w:p w14:paraId="1299213A">
      <w:pPr>
        <w:adjustRightInd w:val="0"/>
        <w:snapToGrid w:val="0"/>
        <w:spacing w:line="360" w:lineRule="auto"/>
        <w:jc w:val="center"/>
        <w:rPr>
          <w:rFonts w:hint="eastAsia" w:ascii="宋体" w:hAnsi="宋体" w:eastAsia="宋体" w:cs="宋体"/>
          <w:b/>
          <w:bCs/>
          <w:color w:val="auto"/>
          <w:sz w:val="24"/>
          <w:szCs w:val="24"/>
          <w:highlight w:val="none"/>
        </w:rPr>
      </w:pPr>
      <w:r>
        <w:rPr>
          <w:rFonts w:hint="eastAsia" w:ascii="Times New Roman" w:hAnsi="宋体" w:eastAsia="宋体" w:cs="宋体"/>
          <w:b/>
          <w:bCs/>
          <w:color w:val="auto"/>
          <w:sz w:val="24"/>
          <w:szCs w:val="24"/>
          <w:highlight w:val="none"/>
          <w:lang w:val="en-US" w:eastAsia="zh-CN"/>
        </w:rPr>
        <w:t>二〇二五年</w:t>
      </w:r>
      <w:r>
        <w:rPr>
          <w:rFonts w:hint="eastAsia" w:ascii="Times New Roman" w:hAnsi="宋体" w:eastAsia="宋体" w:cs="宋体"/>
          <w:b/>
          <w:bCs/>
          <w:color w:val="auto"/>
          <w:sz w:val="24"/>
          <w:szCs w:val="24"/>
          <w:highlight w:val="none"/>
          <w:u w:val="single"/>
          <w:lang w:val="en-US" w:eastAsia="zh-CN"/>
        </w:rPr>
        <w:t xml:space="preserve">  </w:t>
      </w:r>
      <w:r>
        <w:rPr>
          <w:rFonts w:hint="eastAsia" w:ascii="Times New Roman" w:hAnsi="宋体" w:eastAsia="宋体" w:cs="宋体"/>
          <w:b/>
          <w:bCs/>
          <w:color w:val="auto"/>
          <w:sz w:val="24"/>
          <w:szCs w:val="24"/>
          <w:highlight w:val="none"/>
          <w:lang w:val="en-US" w:eastAsia="zh-CN"/>
        </w:rPr>
        <w:t>月</w:t>
      </w:r>
      <w:r>
        <w:rPr>
          <w:rFonts w:hint="eastAsia" w:ascii="Times New Roman" w:hAnsi="宋体" w:eastAsia="宋体" w:cs="宋体"/>
          <w:b/>
          <w:bCs/>
          <w:color w:val="auto"/>
          <w:sz w:val="28"/>
          <w:szCs w:val="28"/>
          <w:highlight w:val="none"/>
        </w:rPr>
        <w:br w:type="page"/>
      </w:r>
    </w:p>
    <w:p w14:paraId="033B07A9">
      <w:pPr>
        <w:spacing w:line="360" w:lineRule="auto"/>
        <w:ind w:firstLine="482" w:firstLineChars="200"/>
        <w:rPr>
          <w:rFonts w:hint="default"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u w:val="none"/>
        </w:rPr>
        <w:t>甲方（采购人）：</w:t>
      </w:r>
      <w:r>
        <w:rPr>
          <w:rFonts w:hint="eastAsia" w:ascii="宋体" w:hAnsi="宋体" w:eastAsia="宋体" w:cs="宋体"/>
          <w:b/>
          <w:bCs/>
          <w:color w:val="auto"/>
          <w:sz w:val="24"/>
          <w:szCs w:val="24"/>
          <w:highlight w:val="none"/>
          <w:u w:val="single"/>
          <w:lang w:val="en-US" w:eastAsia="zh-CN"/>
        </w:rPr>
        <w:t xml:space="preserve">                         </w:t>
      </w:r>
    </w:p>
    <w:p w14:paraId="76576C23">
      <w:pPr>
        <w:spacing w:line="360" w:lineRule="auto"/>
        <w:ind w:firstLine="482" w:firstLineChars="200"/>
        <w:rPr>
          <w:rFonts w:hint="default"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u w:val="none"/>
        </w:rPr>
        <w:t>乙方（供应商）：</w:t>
      </w:r>
      <w:r>
        <w:rPr>
          <w:rFonts w:hint="eastAsia" w:ascii="宋体" w:hAnsi="宋体" w:eastAsia="宋体" w:cs="宋体"/>
          <w:b/>
          <w:bCs/>
          <w:color w:val="auto"/>
          <w:sz w:val="24"/>
          <w:szCs w:val="24"/>
          <w:highlight w:val="none"/>
          <w:u w:val="single"/>
          <w:lang w:val="en-US" w:eastAsia="zh-CN"/>
        </w:rPr>
        <w:t xml:space="preserve">                         </w:t>
      </w:r>
    </w:p>
    <w:p w14:paraId="4E3645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根据《中华人民共和国民法典》及其他有关法律、法规， 遵循平等、自愿、公平和诚信的原则， 双方就下述项目范围与相关服务事项协商一致， 订立本合同。</w:t>
      </w:r>
    </w:p>
    <w:p w14:paraId="4FE5DF60">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一、项目概况</w:t>
      </w:r>
    </w:p>
    <w:p w14:paraId="2C29C541">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新增普通省道桥(隧)技术状况抽检</w:t>
      </w:r>
      <w:r>
        <w:rPr>
          <w:rFonts w:hint="eastAsia" w:ascii="宋体" w:hAnsi="宋体" w:eastAsia="宋体" w:cs="宋体"/>
          <w:color w:val="auto"/>
          <w:sz w:val="24"/>
          <w:szCs w:val="24"/>
          <w:highlight w:val="none"/>
          <w:lang w:eastAsia="zh-CN"/>
        </w:rPr>
        <w:t>项目</w:t>
      </w:r>
    </w:p>
    <w:p w14:paraId="4643D095">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服务内容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依据《公路桥涵养护规范》《公路桥梁技术状况评定标准》《公路养护技术标准》《公路养护统计调查制度》，对新增省道养护检查等级划分为I级的桥梁、隧道进行抽检；对新增省道涉水桥梁深水桩基进行专项检测，通过检测对新增普通省道桥梁及隧道养护工程措施决策提出辅助建议；根据现场检测数据，对相应桥梁、隧道统计年报基础数据进行复核校正。</w:t>
      </w:r>
    </w:p>
    <w:p w14:paraId="504BA7DA">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二、组成本合同的文件</w:t>
      </w:r>
    </w:p>
    <w:p w14:paraId="2C28DDB2">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协议书</w:t>
      </w:r>
      <w:r>
        <w:rPr>
          <w:rFonts w:hint="eastAsia" w:ascii="宋体" w:hAnsi="宋体" w:eastAsia="宋体" w:cs="宋体"/>
          <w:color w:val="auto"/>
          <w:sz w:val="24"/>
          <w:szCs w:val="24"/>
          <w:highlight w:val="none"/>
          <w:lang w:eastAsia="zh-CN"/>
        </w:rPr>
        <w:t>；</w:t>
      </w:r>
    </w:p>
    <w:p w14:paraId="2E4FC7A9">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中标通知书、</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、招标文件、澄清、措施补充文件</w:t>
      </w:r>
      <w:r>
        <w:rPr>
          <w:rFonts w:hint="eastAsia" w:ascii="宋体" w:hAnsi="宋体" w:eastAsia="宋体" w:cs="宋体"/>
          <w:color w:val="auto"/>
          <w:sz w:val="24"/>
          <w:szCs w:val="24"/>
          <w:highlight w:val="none"/>
          <w:lang w:eastAsia="zh-CN"/>
        </w:rPr>
        <w:t>；</w:t>
      </w:r>
    </w:p>
    <w:p w14:paraId="3ED24A1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相关服务建议书</w:t>
      </w:r>
      <w:r>
        <w:rPr>
          <w:rFonts w:hint="eastAsia" w:ascii="宋体" w:hAnsi="宋体" w:eastAsia="宋体" w:cs="宋体"/>
          <w:color w:val="auto"/>
          <w:sz w:val="24"/>
          <w:szCs w:val="24"/>
          <w:highlight w:val="none"/>
          <w:lang w:eastAsia="zh-CN"/>
        </w:rPr>
        <w:t>；</w:t>
      </w:r>
    </w:p>
    <w:p w14:paraId="400526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本合同签订后,双方依法签订的补充协议也是本合同文件的组成部分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当上述文件如有不明确或不一致之处，以合同约定次序在先者为准。</w:t>
      </w:r>
    </w:p>
    <w:p w14:paraId="425498DC">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三、合同金额</w:t>
      </w:r>
    </w:p>
    <w:p w14:paraId="05FC2C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eastAsia="zh-CN"/>
        </w:rPr>
        <w:t>暂定</w:t>
      </w:r>
      <w:r>
        <w:rPr>
          <w:rFonts w:hint="eastAsia" w:ascii="宋体" w:hAnsi="宋体" w:eastAsia="宋体" w:cs="宋体"/>
          <w:color w:val="auto"/>
          <w:sz w:val="24"/>
          <w:szCs w:val="24"/>
          <w:highlight w:val="none"/>
        </w:rPr>
        <w:t>总价款(含税价):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元)，检测单价:桥梁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元/延米</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隧道</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元/延米</w:t>
      </w:r>
      <w:r>
        <w:rPr>
          <w:rFonts w:hint="eastAsia" w:ascii="宋体" w:hAnsi="宋体" w:eastAsia="宋体" w:cs="宋体"/>
          <w:color w:val="auto"/>
          <w:sz w:val="24"/>
          <w:szCs w:val="24"/>
          <w:highlight w:val="none"/>
          <w:lang w:eastAsia="zh-CN"/>
        </w:rPr>
        <w:t>；</w:t>
      </w:r>
      <w:r>
        <w:rPr>
          <w:rFonts w:hint="eastAsia" w:ascii="宋体" w:hAnsi="宋体" w:eastAsia="宋体" w:cs="宋体"/>
          <w:snapToGrid/>
          <w:color w:val="auto"/>
          <w:kern w:val="0"/>
          <w:sz w:val="24"/>
          <w:szCs w:val="24"/>
          <w:highlight w:val="none"/>
          <w:lang w:val="en-US" w:eastAsia="zh-CN"/>
        </w:rPr>
        <w:t>延米隧道机电检测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元/延米</w:t>
      </w:r>
      <w:r>
        <w:rPr>
          <w:rFonts w:hint="eastAsia" w:ascii="宋体" w:hAnsi="宋体" w:eastAsia="宋体" w:cs="宋体"/>
          <w:color w:val="auto"/>
          <w:sz w:val="24"/>
          <w:szCs w:val="24"/>
          <w:highlight w:val="none"/>
          <w:lang w:eastAsia="zh-CN"/>
        </w:rPr>
        <w:t>；</w:t>
      </w:r>
      <w:r>
        <w:rPr>
          <w:rFonts w:hint="eastAsia" w:ascii="宋体" w:hAnsi="宋体" w:eastAsia="宋体" w:cs="宋体"/>
          <w:snapToGrid/>
          <w:color w:val="auto"/>
          <w:kern w:val="0"/>
          <w:sz w:val="24"/>
          <w:szCs w:val="24"/>
          <w:highlight w:val="none"/>
          <w:lang w:val="en-US" w:eastAsia="zh-CN"/>
        </w:rPr>
        <w:t>深水桩基专项检测</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w:t>
      </w:r>
      <w:r>
        <w:rPr>
          <w:rFonts w:hint="eastAsia" w:ascii="宋体" w:hAnsi="宋体" w:eastAsia="宋体" w:cs="宋体"/>
          <w:snapToGrid/>
          <w:color w:val="auto"/>
          <w:kern w:val="0"/>
          <w:sz w:val="24"/>
          <w:szCs w:val="24"/>
          <w:highlight w:val="none"/>
          <w:lang w:val="en-US" w:eastAsia="zh-CN"/>
        </w:rPr>
        <w:t>根</w:t>
      </w:r>
      <w:r>
        <w:rPr>
          <w:rFonts w:hint="eastAsia" w:ascii="宋体" w:hAnsi="宋体" w:eastAsia="宋体" w:cs="宋体"/>
          <w:color w:val="auto"/>
          <w:sz w:val="24"/>
          <w:szCs w:val="24"/>
          <w:highlight w:val="none"/>
        </w:rPr>
        <w:t>。</w:t>
      </w:r>
    </w:p>
    <w:p w14:paraId="6EDDF3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合同价格为含税价，乙方(中标人)本报价为供应商完成</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项目所需的全部费用（包括劳务费、国家按现行税收政策征收的一切税(包括增值税)费</w:t>
      </w:r>
      <w:r>
        <w:rPr>
          <w:rFonts w:hint="eastAsia" w:ascii="宋体" w:hAnsi="宋体" w:eastAsia="宋体" w:cs="宋体"/>
          <w:color w:val="auto"/>
          <w:sz w:val="24"/>
          <w:szCs w:val="24"/>
          <w:highlight w:val="none"/>
          <w:lang w:eastAsia="zh-CN"/>
        </w:rPr>
        <w:t>、服务费、</w:t>
      </w:r>
      <w:r>
        <w:rPr>
          <w:rFonts w:hint="eastAsia" w:ascii="宋体" w:hAnsi="宋体" w:eastAsia="宋体" w:cs="宋体"/>
          <w:color w:val="auto"/>
          <w:sz w:val="24"/>
          <w:szCs w:val="24"/>
          <w:highlight w:val="none"/>
          <w:lang w:val="en-US" w:eastAsia="zh-CN"/>
        </w:rPr>
        <w:t>分析报告出具费用</w:t>
      </w:r>
      <w:r>
        <w:rPr>
          <w:rFonts w:hint="eastAsia" w:ascii="宋体" w:hAnsi="宋体" w:eastAsia="宋体" w:cs="宋体"/>
          <w:color w:val="auto"/>
          <w:sz w:val="24"/>
          <w:szCs w:val="24"/>
          <w:highlight w:val="none"/>
        </w:rPr>
        <w:t>等</w:t>
      </w:r>
      <w:r>
        <w:rPr>
          <w:rFonts w:hint="eastAsia" w:ascii="宋体" w:hAnsi="宋体" w:eastAsia="宋体" w:cs="宋体"/>
          <w:color w:val="auto"/>
          <w:sz w:val="24"/>
          <w:szCs w:val="24"/>
          <w:highlight w:val="none"/>
          <w:lang w:eastAsia="zh-CN"/>
        </w:rPr>
        <w:t>一切费用</w:t>
      </w:r>
      <w:r>
        <w:rPr>
          <w:rFonts w:hint="eastAsia" w:ascii="宋体" w:hAnsi="宋体" w:eastAsia="宋体" w:cs="宋体"/>
          <w:color w:val="auto"/>
          <w:sz w:val="24"/>
          <w:szCs w:val="24"/>
          <w:highlight w:val="none"/>
        </w:rPr>
        <w:t>）。按单价测算据实结算。</w:t>
      </w:r>
    </w:p>
    <w:p w14:paraId="3C3C4F88">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四、结算方式</w:t>
      </w:r>
    </w:p>
    <w:p w14:paraId="2DC8C8D7">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结算单位:</w:t>
      </w:r>
      <w:r>
        <w:rPr>
          <w:rFonts w:hint="eastAsia" w:ascii="宋体" w:hAnsi="宋体" w:eastAsia="宋体" w:cs="宋体"/>
          <w:color w:val="auto"/>
          <w:sz w:val="24"/>
          <w:szCs w:val="24"/>
          <w:highlight w:val="none"/>
          <w:lang w:eastAsia="zh-CN"/>
        </w:rPr>
        <w:t>由甲方负责结算。</w:t>
      </w:r>
      <w:r>
        <w:rPr>
          <w:rFonts w:hint="eastAsia" w:ascii="宋体" w:hAnsi="宋体" w:eastAsia="宋体" w:cs="宋体"/>
          <w:color w:val="auto"/>
          <w:sz w:val="24"/>
          <w:szCs w:val="24"/>
          <w:highlight w:val="none"/>
          <w:lang w:val="en-US" w:eastAsia="zh-CN"/>
        </w:rPr>
        <w:t>本项目为单价合同，据实结算，结算金额为“单价×实际工作量”。本项目为政府采购预算项目，若结算金额超过合同总金额视为乙方可预见的风险，按合同暂定总价款结算。</w:t>
      </w:r>
    </w:p>
    <w:p w14:paraId="462DDC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费用结算采用银行转账方式，分期付款。付款前，乙方须向甲方提供与合同等额的增值税发票，税费由乙方承担。</w:t>
      </w:r>
    </w:p>
    <w:p w14:paraId="44B0A8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付款方式:</w:t>
      </w:r>
    </w:p>
    <w:p w14:paraId="07E8A2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合同签订后，甲方收到履约保证金及增值税普通发票后，甲方支付乙方合同总金额的</w:t>
      </w:r>
      <w:r>
        <w:rPr>
          <w:rFonts w:hint="eastAsia" w:ascii="宋体" w:hAnsi="宋体" w:eastAsia="宋体" w:cs="宋体"/>
          <w:color w:val="auto"/>
          <w:sz w:val="24"/>
          <w:szCs w:val="24"/>
          <w:highlight w:val="none"/>
          <w:u w:val="single"/>
          <w:lang w:val="en-US" w:eastAsia="zh-CN"/>
        </w:rPr>
        <w:t xml:space="preserve"> 60.00% </w:t>
      </w:r>
      <w:r>
        <w:rPr>
          <w:rFonts w:hint="eastAsia" w:ascii="宋体" w:hAnsi="宋体" w:eastAsia="宋体" w:cs="宋体"/>
          <w:color w:val="auto"/>
          <w:sz w:val="24"/>
          <w:szCs w:val="24"/>
          <w:highlight w:val="none"/>
          <w:lang w:val="en-US" w:eastAsia="zh-CN"/>
        </w:rPr>
        <w:t>；乙方完成外业检测及报告编制工作，甲方支付乙方合同总金额的</w:t>
      </w:r>
      <w:r>
        <w:rPr>
          <w:rFonts w:hint="eastAsia" w:ascii="宋体" w:hAnsi="宋体" w:eastAsia="宋体" w:cs="宋体"/>
          <w:color w:val="auto"/>
          <w:sz w:val="24"/>
          <w:szCs w:val="24"/>
          <w:highlight w:val="none"/>
          <w:u w:val="single"/>
          <w:lang w:val="en-US" w:eastAsia="zh-CN"/>
        </w:rPr>
        <w:t xml:space="preserve"> 30.00% </w:t>
      </w:r>
      <w:r>
        <w:rPr>
          <w:rFonts w:hint="eastAsia" w:ascii="宋体" w:hAnsi="宋体" w:eastAsia="宋体" w:cs="宋体"/>
          <w:color w:val="auto"/>
          <w:sz w:val="24"/>
          <w:szCs w:val="24"/>
          <w:highlight w:val="none"/>
          <w:lang w:val="en-US" w:eastAsia="zh-CN"/>
        </w:rPr>
        <w:t>；乙方完成合同约定全部内容，提交项目最终成果报告，甲方按照合同单价和乙方实际完成工作量计算并支付剩余合同金额。</w:t>
      </w:r>
    </w:p>
    <w:p w14:paraId="065665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)甲方每次付款前，乙方均应开具等额的税务发票，否则甲方有权拒绝付款，且不应承担迟延付款的责任。</w:t>
      </w:r>
    </w:p>
    <w:p w14:paraId="3A8922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)乙方超出任务书范围的工程量以及未通过甲方审查的工程量，甲方有权不予结算和支付相应款项。</w:t>
      </w:r>
    </w:p>
    <w:p w14:paraId="362E48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)甲方有权在项目实施过程中，要求乙方对不满足质量要求的工作进行返工，工期不予顺延。</w:t>
      </w:r>
    </w:p>
    <w:p w14:paraId="70D19C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)检测费金额大于合同金额，应视为乙方可预见风险，按</w:t>
      </w:r>
      <w:r>
        <w:rPr>
          <w:rFonts w:hint="eastAsia" w:ascii="宋体" w:hAnsi="宋体" w:eastAsia="宋体" w:cs="宋体"/>
          <w:color w:val="auto"/>
          <w:sz w:val="24"/>
          <w:szCs w:val="24"/>
          <w:highlight w:val="none"/>
          <w:lang w:eastAsia="zh-CN"/>
        </w:rPr>
        <w:t>合同暂定总价</w:t>
      </w:r>
      <w:r>
        <w:rPr>
          <w:rFonts w:hint="eastAsia" w:ascii="宋体" w:hAnsi="宋体" w:eastAsia="宋体" w:cs="宋体"/>
          <w:color w:val="auto"/>
          <w:sz w:val="24"/>
          <w:szCs w:val="24"/>
          <w:highlight w:val="none"/>
        </w:rPr>
        <w:t>款支付乙方检测费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检测费金额小于合同金额，按单价测算据实结算。</w:t>
      </w:r>
    </w:p>
    <w:p w14:paraId="7C741C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)未在规定期限内完成工作任务的,每顺延一天罚金合同金额0.</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p>
    <w:p w14:paraId="13BD1A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)延期超过30天的，甲方有权解除合同，并要求乙方赔偿全部损失。</w:t>
      </w:r>
    </w:p>
    <w:p w14:paraId="53B3BB3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合同签订前，乙方须向甲方缴纳合同总金额5%的履约保证金，履约保证金待乙方履行完毕全部合同义务，并经甲方履约验收合格，无任何纠纷后无息退还。</w:t>
      </w:r>
    </w:p>
    <w:p w14:paraId="01056A1C">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五、项目主要负责人</w:t>
      </w:r>
    </w:p>
    <w:p w14:paraId="19B5ED91">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u w:val="single"/>
          <w:lang w:val="en-US" w:eastAsia="zh-CN"/>
        </w:rPr>
        <w:t xml:space="preserve">                </w:t>
      </w:r>
    </w:p>
    <w:p w14:paraId="540853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项目总工:</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联系方式:</w:t>
      </w:r>
      <w:r>
        <w:rPr>
          <w:rFonts w:hint="eastAsia" w:ascii="宋体" w:hAnsi="宋体" w:eastAsia="宋体" w:cs="宋体"/>
          <w:color w:val="auto"/>
          <w:sz w:val="24"/>
          <w:szCs w:val="24"/>
          <w:highlight w:val="none"/>
          <w:u w:val="single"/>
          <w:lang w:val="en-US" w:eastAsia="zh-CN"/>
        </w:rPr>
        <w:t xml:space="preserve">                </w:t>
      </w:r>
    </w:p>
    <w:p w14:paraId="6EB6AB92">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六、服务期</w:t>
      </w:r>
    </w:p>
    <w:p w14:paraId="12BF92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合同服务期为合同签订后一年。乙方应从合同签订之日起3个月内完成全部外业检测及报告编制工作并提交甲方。自合同服务期满前应完成合同约定所有义务并验收合格。</w:t>
      </w:r>
    </w:p>
    <w:p w14:paraId="11B60467">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七、主要工作内容</w:t>
      </w:r>
    </w:p>
    <w:p w14:paraId="500F235C">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标段：完成全省养护检查等级划分为I级的新增省道隧道技术状况检测抽检评定（约10座/12569延米隧道检测、6座/3544延米隧道机电专项检测），榆林市、延安市、渭南市、杨凌示范区境内养护检查等级划分为I级的新增省道桥梁技术状况检测抽检评定（约40座/3926延米），以及不少于70根深水桩基专项检测，按市形成抽检评定及养护需求分析分报告。根据现场检测数据，对相应桥梁、隧道统计年报基础数据进行复核校正。牵头完成本年度全省新增省道桥梁、隧道技术状况抽检评定结果及涉水桥梁深水桩基检测结果的统计分析汇总，并形成全省抽检评定及养护需求总报告。</w:t>
      </w:r>
    </w:p>
    <w:p w14:paraId="214597E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标段：完成汉中市、安康市、商洛市、西安市、咸阳市、宝鸡市境内养护检查等级划分为I级的新增省道桥梁的技术状况检测抽检评定（约50座/5432延米），以及不少于410根深水桩基专项检测，按市形成抽检评定及养护需求分析报告。根据现场检测数据，对相应桥梁、隧道统计年报基础数据进行复核校正。</w:t>
      </w:r>
    </w:p>
    <w:p w14:paraId="64C5BE38">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八、技术要求</w:t>
      </w:r>
    </w:p>
    <w:p w14:paraId="097C70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满足交通运输部、陕西省交通运输主管部门印发的规范性文件以及招标文件相关技术要求，提交的检测报告需通过咨询单位的技术审查。</w:t>
      </w:r>
    </w:p>
    <w:p w14:paraId="6507E4BE">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九、售后服务</w:t>
      </w:r>
    </w:p>
    <w:p w14:paraId="373FBF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技术支持和售后服务由乙方严格按</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及有关承诺执行，提供7*24小时电话咨询服务，出现问题时，2小时内电话响应，12小时内电话解决问题，如有需要48小时内到达故障现场解决问题。</w:t>
      </w:r>
    </w:p>
    <w:p w14:paraId="0494113E">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售后服务联系方式: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603E419B">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如乙方自身原因或不能履行售后服务义务,甲方有权委托第三方处理，由此产生的费用和风险由乙方承担</w:t>
      </w:r>
      <w:r>
        <w:rPr>
          <w:rFonts w:hint="eastAsia" w:ascii="宋体" w:hAnsi="宋体" w:eastAsia="宋体" w:cs="宋体"/>
          <w:color w:val="auto"/>
          <w:sz w:val="24"/>
          <w:szCs w:val="24"/>
          <w:highlight w:val="none"/>
          <w:lang w:eastAsia="zh-CN"/>
        </w:rPr>
        <w:t>。</w:t>
      </w:r>
    </w:p>
    <w:p w14:paraId="28E66246">
      <w:pPr>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十</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验收</w:t>
      </w:r>
    </w:p>
    <w:p w14:paraId="4357F2C3">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14:paraId="1E418E4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2.采购人确认供应商能够达到合同约定要求后，组织供应商（必要时请有关专家）进行项目验收。供应商提交合同履约情况总结报告，并经采购人确认。验收合格后，填写项目验收单作为对项目的最终认可。</w:t>
      </w:r>
    </w:p>
    <w:p w14:paraId="650378D4">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3.验收依据：①本合同及附件文本；②竞争性磋商文件、磋商响应文件、澄清表（函）；③国家相应的标准、规范。</w:t>
      </w:r>
    </w:p>
    <w:p w14:paraId="54BAE6A9">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技术审查、验收不合格的限期整改，整改过程中产生的费用和货物发生的一切损失由乙方承担,整改超过二次的，甲方有权单方解除本合同，乙方应无条件退还已收取的全部合同价款，给甲方造成损失的应予以赔偿，且乙方应按合同暂定总价10%向甲方支付违约金。</w:t>
      </w:r>
    </w:p>
    <w:p w14:paraId="64E0B275">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i w:val="0"/>
          <w:iCs w:val="0"/>
          <w:caps w:val="0"/>
          <w:color w:val="auto"/>
          <w:spacing w:val="0"/>
          <w:kern w:val="0"/>
          <w:sz w:val="25"/>
          <w:szCs w:val="25"/>
          <w:highlight w:val="none"/>
          <w:lang w:val="en-US" w:eastAsia="zh-CN" w:bidi="ar"/>
        </w:rPr>
        <w:t xml:space="preserve">    </w:t>
      </w:r>
      <w:r>
        <w:rPr>
          <w:rFonts w:hint="eastAsia" w:ascii="宋体" w:hAnsi="宋体" w:eastAsia="宋体" w:cs="宋体"/>
          <w:b/>
          <w:bCs/>
          <w:color w:val="auto"/>
          <w:sz w:val="24"/>
          <w:szCs w:val="24"/>
          <w:highlight w:val="none"/>
          <w:lang w:val="en-US" w:eastAsia="zh-CN"/>
        </w:rPr>
        <w:t>十一、保密</w:t>
      </w:r>
    </w:p>
    <w:p w14:paraId="23AF96B8">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乙方对工作中了解到的甲方的技术、数据、机密等进行严格保密，不得向他人泄漏。本合同的解除或终止不免除乙方应承担的保密义务。</w:t>
      </w:r>
    </w:p>
    <w:p w14:paraId="51BC9648">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乙方违反保密规定的，除承担法律责任外，还应向甲方支付合同额20%的惩罚性违约金，违约金不足以弥补甲方损失的，乙方还应予以赔偿。</w:t>
      </w:r>
    </w:p>
    <w:p w14:paraId="06E4EEDF">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    十二、知识产权</w:t>
      </w:r>
    </w:p>
    <w:p w14:paraId="3C75C619">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暂定总价款10%的违约金，给采购人造成损失的，由供应商一并赔偿。</w:t>
      </w:r>
    </w:p>
    <w:p w14:paraId="1D6F20CD">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     十三、违约责任</w:t>
      </w:r>
    </w:p>
    <w:p w14:paraId="5461F758">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1.甲乙双方必须遵守本合同并执行合同中的各项规定，保证本合同的正常履行。</w:t>
      </w:r>
    </w:p>
    <w:p w14:paraId="10C8599A">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3D65350">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2BFBB123">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4.乙方逾期完成服务的，每逾期一日，向甲方承担合同暂定总价款0.3%的违约金，逾期30日的，甲方有权单方解除本合同且保留追究乙方违约责任的权利，给甲方造成损失的，乙方还应予以赔偿。</w:t>
      </w:r>
    </w:p>
    <w:p w14:paraId="2CFAF22C">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乙方完成的工作成果未通过甲方验收的，乙方应按照甲方的要求无条件进行修改，修改2次以上仍不合格，甲方有权单方面解除本合同，乙方应无条件退还已收取的全部合同价款，并按合同暂定总价的10%向甲方支付违约金，违约金不足以弥补甲方损失的，乙方还应予以补足。</w:t>
      </w:r>
    </w:p>
    <w:p w14:paraId="4B9A7CD7">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6.乙方应保证其提交的服务成果不存在侵犯他人权益的情形，否则，因此引发的责任及纠纷由乙方承担，对甲方造成损失的，乙方应予以赔偿，此外，乙方还应向甲方承担合同暂定总价款20%的惩罚性违约金。</w:t>
      </w:r>
    </w:p>
    <w:p w14:paraId="4546E569">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7.乙方应对其服务及服务成果的合法性、科学性、有效性、客观性、真实性负责，否则，相关责任及纠纷由乙方承担，对甲方造成损失的，乙方应予赔偿，此外，乙方还应向甲方承担合同暂定总价款10%的违约金。</w:t>
      </w:r>
    </w:p>
    <w:p w14:paraId="4C7D0585">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7DD10C3C">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1E2BC1BB">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十四、合同争议的解决</w:t>
      </w:r>
    </w:p>
    <w:p w14:paraId="3C98D4DC">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在执行本合同中发生的或与本合同有关的争端，双方应通过友好协商解决，经协商无法解决的，应向甲方所在地有管理权限的人民法院提请诉讼。</w:t>
      </w:r>
    </w:p>
    <w:p w14:paraId="58F88CD3">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十五、不可抗力情况下的免责约定</w:t>
      </w:r>
    </w:p>
    <w:p w14:paraId="13C524AF">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双方约定不可抗力情况指：双方不可预见、不可避免、不可克服的客观情况，但不包括双方的违约或疏忽。这些事件包括但不限于：战争、严重火灾、洪水、台风、地震等。</w:t>
      </w:r>
    </w:p>
    <w:p w14:paraId="56162461">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1、在合同有效期内，任何一方因不可抗力事件导致不能履行合同，则合同履行期可延长，其延长期与不可抗力影响期相同。</w:t>
      </w:r>
    </w:p>
    <w:p w14:paraId="29E8FB19">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2、不可抗力事件发生后，应立即通知对方，并寄送有关权威机构出具的证明。</w:t>
      </w:r>
    </w:p>
    <w:p w14:paraId="5FAC04C8">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3、不可抗力事件延续60天以上，双方应通过友好协商，确定是否继续履行合同。</w:t>
      </w:r>
    </w:p>
    <w:p w14:paraId="1D997172">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十六、合同订立</w:t>
      </w:r>
    </w:p>
    <w:p w14:paraId="2A4067EE">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1.本合同未尽事宜由双方协商解决，双方协商达成一致，可以对本合同进行修订或补充，任何对本合同的修订或者补充，应采用书面形式，签订补充协议，具有同等法律效力。</w:t>
      </w:r>
    </w:p>
    <w:p w14:paraId="0907A4AE">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2.本合同自双方的法定代表人或委托代理人签字并加盖公章之日起生效。</w:t>
      </w:r>
    </w:p>
    <w:p w14:paraId="4743DF55">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3.本合同一式</w:t>
      </w:r>
      <w:r>
        <w:rPr>
          <w:rFonts w:hint="eastAsia" w:ascii="宋体" w:hAnsi="宋体" w:eastAsia="宋体" w:cs="宋体"/>
          <w:color w:val="auto"/>
          <w:sz w:val="24"/>
          <w:szCs w:val="24"/>
          <w:highlight w:val="none"/>
          <w:u w:val="single"/>
          <w:lang w:val="en-US" w:eastAsia="zh-CN"/>
        </w:rPr>
        <w:t xml:space="preserve"> 捌 </w:t>
      </w:r>
      <w:r>
        <w:rPr>
          <w:rFonts w:hint="eastAsia" w:ascii="宋体" w:hAnsi="宋体" w:eastAsia="宋体" w:cs="宋体"/>
          <w:color w:val="auto"/>
          <w:sz w:val="24"/>
          <w:szCs w:val="24"/>
          <w:highlight w:val="none"/>
          <w:lang w:val="en-US" w:eastAsia="zh-CN"/>
        </w:rPr>
        <w:t>份，其中，甲方执</w:t>
      </w:r>
      <w:r>
        <w:rPr>
          <w:rFonts w:hint="eastAsia" w:ascii="宋体" w:hAnsi="宋体" w:eastAsia="宋体" w:cs="宋体"/>
          <w:color w:val="auto"/>
          <w:sz w:val="24"/>
          <w:szCs w:val="24"/>
          <w:highlight w:val="none"/>
          <w:u w:val="single"/>
          <w:lang w:val="en-US" w:eastAsia="zh-CN"/>
        </w:rPr>
        <w:t xml:space="preserve"> 肆 </w:t>
      </w:r>
      <w:r>
        <w:rPr>
          <w:rFonts w:hint="eastAsia" w:ascii="宋体" w:hAnsi="宋体" w:eastAsia="宋体" w:cs="宋体"/>
          <w:color w:val="auto"/>
          <w:sz w:val="24"/>
          <w:szCs w:val="24"/>
          <w:highlight w:val="none"/>
          <w:lang w:val="en-US" w:eastAsia="zh-CN"/>
        </w:rPr>
        <w:t>份，乙方执</w:t>
      </w:r>
      <w:r>
        <w:rPr>
          <w:rFonts w:hint="eastAsia" w:ascii="宋体" w:hAnsi="宋体" w:eastAsia="宋体" w:cs="宋体"/>
          <w:color w:val="auto"/>
          <w:sz w:val="24"/>
          <w:szCs w:val="24"/>
          <w:highlight w:val="none"/>
          <w:u w:val="single"/>
          <w:lang w:val="en-US" w:eastAsia="zh-CN"/>
        </w:rPr>
        <w:t xml:space="preserve"> 肆 </w:t>
      </w:r>
      <w:r>
        <w:rPr>
          <w:rFonts w:hint="eastAsia" w:ascii="宋体" w:hAnsi="宋体" w:eastAsia="宋体" w:cs="宋体"/>
          <w:color w:val="auto"/>
          <w:sz w:val="24"/>
          <w:szCs w:val="24"/>
          <w:highlight w:val="none"/>
          <w:lang w:val="en-US" w:eastAsia="zh-CN"/>
        </w:rPr>
        <w:t>份，具有同等法律效力。</w:t>
      </w:r>
    </w:p>
    <w:p w14:paraId="5940E945">
      <w:pPr>
        <w:widowControl w:val="0"/>
        <w:spacing w:line="360" w:lineRule="auto"/>
        <w:jc w:val="both"/>
        <w:rPr>
          <w:rFonts w:hint="eastAsia" w:ascii="宋体" w:hAnsi="宋体" w:eastAsia="宋体" w:cs="宋体"/>
          <w:color w:val="auto"/>
          <w:kern w:val="2"/>
          <w:sz w:val="24"/>
          <w:szCs w:val="24"/>
          <w:highlight w:val="none"/>
          <w:lang w:val="en-US" w:eastAsia="zh-CN" w:bidi="ar-SA"/>
        </w:rPr>
      </w:pPr>
    </w:p>
    <w:p w14:paraId="7E39E1CE">
      <w:pPr>
        <w:widowControl w:val="0"/>
        <w:spacing w:line="360" w:lineRule="auto"/>
        <w:jc w:val="both"/>
        <w:rPr>
          <w:rFonts w:hint="eastAsia" w:ascii="宋体" w:hAnsi="宋体" w:eastAsia="宋体" w:cs="宋体"/>
          <w:color w:val="auto"/>
          <w:kern w:val="2"/>
          <w:sz w:val="24"/>
          <w:szCs w:val="24"/>
          <w:highlight w:val="none"/>
          <w:lang w:val="en-US" w:eastAsia="zh-CN" w:bidi="ar-SA"/>
        </w:rPr>
      </w:pPr>
    </w:p>
    <w:p w14:paraId="44E8F782">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r>
        <w:rPr>
          <w:rFonts w:hint="eastAsia" w:ascii="宋体" w:hAnsi="宋体" w:eastAsia="宋体" w:cs="宋体"/>
          <w:color w:val="auto"/>
          <w:sz w:val="24"/>
          <w:szCs w:val="24"/>
          <w:highlight w:val="none"/>
          <w:u w:val="single"/>
        </w:rPr>
        <w:t xml:space="preserve">   （盖章）      </w:t>
      </w:r>
      <w:r>
        <w:rPr>
          <w:rFonts w:hint="eastAsia" w:ascii="宋体" w:hAnsi="宋体" w:eastAsia="宋体" w:cs="宋体"/>
          <w:color w:val="auto"/>
          <w:sz w:val="24"/>
          <w:szCs w:val="24"/>
          <w:highlight w:val="none"/>
        </w:rPr>
        <w:t xml:space="preserve">            供应商：</w:t>
      </w:r>
      <w:r>
        <w:rPr>
          <w:rFonts w:hint="eastAsia" w:ascii="宋体" w:hAnsi="宋体" w:eastAsia="宋体" w:cs="宋体"/>
          <w:color w:val="auto"/>
          <w:sz w:val="24"/>
          <w:szCs w:val="24"/>
          <w:highlight w:val="none"/>
          <w:u w:val="single"/>
        </w:rPr>
        <w:t xml:space="preserve">   （盖章）         </w:t>
      </w:r>
    </w:p>
    <w:p w14:paraId="753BA89E">
      <w:pPr>
        <w:adjustRightInd w:val="0"/>
        <w:snapToGrid w:val="0"/>
        <w:spacing w:line="360" w:lineRule="auto"/>
        <w:ind w:firstLine="475" w:firstLineChars="19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地 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788867DD">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法定代表人或其授权                   法定代表人或其授权 </w:t>
      </w:r>
    </w:p>
    <w:p w14:paraId="5A5B57D3">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的代理人：</w:t>
      </w:r>
      <w:r>
        <w:rPr>
          <w:rFonts w:hint="eastAsia" w:ascii="宋体" w:hAnsi="宋体" w:eastAsia="宋体" w:cs="宋体"/>
          <w:color w:val="auto"/>
          <w:sz w:val="24"/>
          <w:szCs w:val="24"/>
          <w:highlight w:val="none"/>
          <w:u w:val="single"/>
        </w:rPr>
        <w:t xml:space="preserve">（签字）      </w:t>
      </w:r>
      <w:r>
        <w:rPr>
          <w:rFonts w:hint="eastAsia" w:ascii="宋体" w:hAnsi="宋体" w:eastAsia="宋体" w:cs="宋体"/>
          <w:color w:val="auto"/>
          <w:sz w:val="24"/>
          <w:szCs w:val="24"/>
          <w:highlight w:val="none"/>
        </w:rPr>
        <w:t xml:space="preserve">             的代理人：</w:t>
      </w:r>
      <w:r>
        <w:rPr>
          <w:rFonts w:hint="eastAsia" w:ascii="宋体" w:hAnsi="宋体" w:eastAsia="宋体" w:cs="宋体"/>
          <w:color w:val="auto"/>
          <w:sz w:val="24"/>
          <w:szCs w:val="24"/>
          <w:highlight w:val="none"/>
          <w:u w:val="single"/>
        </w:rPr>
        <w:t xml:space="preserve">（签字）           </w:t>
      </w:r>
    </w:p>
    <w:p w14:paraId="0745E7C9">
      <w:pPr>
        <w:adjustRightInd w:val="0"/>
        <w:snapToGrid w:val="0"/>
        <w:spacing w:line="360" w:lineRule="auto"/>
        <w:ind w:firstLine="475" w:firstLineChars="19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02312A2B">
      <w:pPr>
        <w:pStyle w:val="3"/>
        <w:rPr>
          <w:rFonts w:hint="eastAsia"/>
          <w:color w:val="auto"/>
          <w:highlight w:val="none"/>
        </w:rPr>
      </w:pPr>
    </w:p>
    <w:p w14:paraId="18D29048">
      <w:pPr>
        <w:pStyle w:val="6"/>
        <w:spacing w:line="360" w:lineRule="auto"/>
        <w:rPr>
          <w:rFonts w:hint="eastAsia" w:ascii="宋体" w:hAnsi="宋体" w:eastAsia="宋体" w:cs="宋体"/>
          <w:color w:val="auto"/>
          <w:sz w:val="24"/>
          <w:szCs w:val="24"/>
          <w:highlight w:val="none"/>
          <w:lang w:val="en-US" w:eastAsia="zh-Hans"/>
        </w:rPr>
        <w:sectPr>
          <w:pgSz w:w="11906" w:h="16838"/>
          <w:pgMar w:top="1440" w:right="1800" w:bottom="1440" w:left="1800" w:header="851" w:footer="992" w:gutter="0"/>
          <w:cols w:space="425" w:num="1"/>
          <w:docGrid w:type="lines" w:linePitch="312" w:charSpace="0"/>
        </w:sectPr>
      </w:pPr>
    </w:p>
    <w:p w14:paraId="0FEE1393">
      <w:pPr>
        <w:keepNext w:val="0"/>
        <w:keepLines w:val="0"/>
        <w:pageBreakBefore w:val="0"/>
        <w:widowControl/>
        <w:kinsoku/>
        <w:overflowPunct/>
        <w:topLinePunct w:val="0"/>
        <w:bidi w:val="0"/>
        <w:spacing w:afterLines="50" w:line="500" w:lineRule="exact"/>
        <w:jc w:val="center"/>
        <w:rPr>
          <w:rFonts w:hint="eastAsia" w:ascii="宋体" w:hAnsi="宋体" w:eastAsia="宋体" w:cs="宋体"/>
          <w:color w:val="auto"/>
          <w:sz w:val="28"/>
          <w:szCs w:val="28"/>
          <w:highlight w:val="none"/>
          <w:lang w:val="en-US" w:eastAsia="zh-Hans"/>
        </w:rPr>
      </w:pPr>
      <w:r>
        <w:rPr>
          <w:rFonts w:hint="eastAsia" w:ascii="宋体" w:hAnsi="宋体" w:eastAsia="宋体" w:cs="宋体"/>
          <w:b/>
          <w:bCs/>
          <w:snapToGrid w:val="0"/>
          <w:color w:val="auto"/>
          <w:kern w:val="0"/>
          <w:sz w:val="36"/>
          <w:szCs w:val="36"/>
          <w:highlight w:val="none"/>
          <w:lang w:val="en-US" w:eastAsia="zh-Hans"/>
        </w:rPr>
        <w:t>廉政合同</w:t>
      </w:r>
    </w:p>
    <w:p w14:paraId="619F12DB">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根据《关于在交通基础设施建设中加强廉政建设的若干意见》以及有关工程建设、廉政建设的规定，为做好工程建设中的党风廉政建设，保证工程建设高效优质，保证建设资金的安全和有效使用以及投资效益，陕西省公路局</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en-US" w:eastAsia="zh-Hans"/>
        </w:rPr>
        <w:t>以下简称“甲方”</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en-US" w:eastAsia="zh-Hans"/>
        </w:rPr>
        <w:t>和</w:t>
      </w:r>
      <w:r>
        <w:rPr>
          <w:rFonts w:hint="eastAsia" w:ascii="宋体" w:hAnsi="宋体" w:cs="宋体"/>
          <w:color w:val="auto"/>
          <w:sz w:val="24"/>
          <w:szCs w:val="24"/>
          <w:highlight w:val="none"/>
          <w:u w:val="single"/>
          <w:lang w:val="en-US" w:eastAsia="zh-Hans"/>
        </w:rPr>
        <mc:AlternateContent>
          <mc:Choice Requires="wps">
            <w:drawing>
              <wp:anchor distT="0" distB="0" distL="114300" distR="114300" simplePos="0" relativeHeight="251659264" behindDoc="1" locked="0" layoutInCell="0" allowOverlap="1">
                <wp:simplePos x="0" y="0"/>
                <wp:positionH relativeFrom="page">
                  <wp:posOffset>1080770</wp:posOffset>
                </wp:positionH>
                <wp:positionV relativeFrom="paragraph">
                  <wp:posOffset>295275</wp:posOffset>
                </wp:positionV>
                <wp:extent cx="50165" cy="0"/>
                <wp:effectExtent l="0" t="5080" r="0" b="4445"/>
                <wp:wrapNone/>
                <wp:docPr id="2" name="任意多边形 2"/>
                <wp:cNvGraphicFramePr/>
                <a:graphic xmlns:a="http://schemas.openxmlformats.org/drawingml/2006/main">
                  <a:graphicData uri="http://schemas.microsoft.com/office/word/2010/wordprocessingShape">
                    <wps:wsp>
                      <wps:cNvSpPr/>
                      <wps:spPr>
                        <a:xfrm>
                          <a:off x="0" y="0"/>
                          <a:ext cx="50165" cy="0"/>
                        </a:xfrm>
                        <a:custGeom>
                          <a:avLst/>
                          <a:gdLst>
                            <a:gd name="A1" fmla="val 0"/>
                            <a:gd name="A2" fmla="val 0"/>
                          </a:gdLst>
                          <a:ahLst/>
                          <a:cxnLst>
                            <a:cxn ang="0">
                              <a:pos x="0" y="0"/>
                            </a:cxn>
                            <a:cxn ang="0">
                              <a:pos x="50165" y="0"/>
                            </a:cxn>
                          </a:cxnLst>
                          <a:rect l="0" t="0" r="0" b="0"/>
                          <a:pathLst>
                            <a:path w="79" h="1">
                              <a:moveTo>
                                <a:pt x="0" y="0"/>
                              </a:moveTo>
                              <a:lnTo>
                                <a:pt x="79" y="0"/>
                              </a:lnTo>
                            </a:path>
                          </a:pathLst>
                        </a:custGeom>
                        <a:noFill/>
                        <a:ln w="8890" cap="flat" cmpd="sng">
                          <a:solidFill>
                            <a:srgbClr val="000000"/>
                          </a:solidFill>
                          <a:prstDash val="solid"/>
                          <a:round/>
                          <a:headEnd type="none" w="med" len="med"/>
                          <a:tailEnd type="none" w="med" len="med"/>
                        </a:ln>
                        <a:effectLst/>
                      </wps:spPr>
                      <wps:bodyPr upright="1"/>
                    </wps:wsp>
                  </a:graphicData>
                </a:graphic>
              </wp:anchor>
            </w:drawing>
          </mc:Choice>
          <mc:Fallback>
            <w:pict>
              <v:shape id="_x0000_s1026" o:spid="_x0000_s1026" o:spt="100" style="position:absolute;left:0pt;margin-left:85.1pt;margin-top:23.25pt;height:0pt;width:3.95pt;mso-position-horizontal-relative:page;z-index:-251657216;mso-width-relative:page;mso-height-relative:page;" filled="f" stroked="t" coordsize="79,1" o:allowincell="f" o:gfxdata="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G/enfrZAAAACQEAAA8AAAAAAAAAAQAgAAAAIgAAAGRycy9k&#10;b3ducmV2LnhtbFBLAQIUABQAAAAIAIdO4kCqQMsocwIAAGQFAAAOAAAAAAAAAAEAIAAAACgBAABk&#10;cnMvZTJvRG9jLnhtbFBLBQYAAAAABgAGAFkBAAANBgAAAAA=&#10;" path="m0,0l79,0e">
                <v:path o:connectlocs="0,0;50165,0" o:connectangles="0,0"/>
                <v:fill on="f" focussize="0,0"/>
                <v:stroke weight="0.7pt" color="#000000" joinstyle="round"/>
                <v:imagedata o:title=""/>
                <o:lock v:ext="edit" aspectratio="f"/>
              </v:shape>
            </w:pict>
          </mc:Fallback>
        </mc:AlternateContent>
      </w:r>
      <w:r>
        <w:rPr>
          <w:rFonts w:hint="eastAsia" w:ascii="宋体" w:hAnsi="宋体" w:cs="宋体"/>
          <w:color w:val="auto"/>
          <w:sz w:val="24"/>
          <w:szCs w:val="24"/>
          <w:highlight w:val="none"/>
          <w:u w:val="single"/>
          <w:lang w:val="en-US" w:eastAsia="zh-Hans"/>
        </w:rPr>
        <w:t>成交</w:t>
      </w:r>
      <w:r>
        <w:rPr>
          <w:rFonts w:hint="eastAsia" w:ascii="宋体" w:hAnsi="宋体" w:cs="宋体"/>
          <w:color w:val="auto"/>
          <w:sz w:val="24"/>
          <w:szCs w:val="24"/>
          <w:highlight w:val="none"/>
          <w:u w:val="single"/>
          <w:lang w:val="en-US" w:eastAsia="zh-CN"/>
        </w:rPr>
        <w:t>供应商</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en-US" w:eastAsia="zh-Hans"/>
        </w:rPr>
        <w:t>以下简称“乙方”</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en-US" w:eastAsia="zh-Hans"/>
        </w:rPr>
        <w:t>特订立如下合同。</w:t>
      </w:r>
    </w:p>
    <w:p w14:paraId="1481800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第一条 双方的权利和义务</w:t>
      </w:r>
    </w:p>
    <w:p w14:paraId="20706CDB">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(一)严格遵守党的政策规定和国家有关法律法规及交通运输部的有关规定。</w:t>
      </w:r>
    </w:p>
    <w:p w14:paraId="6FB1FA0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(二)严格执行</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Hans"/>
        </w:rPr>
        <w:t>合同文件，自觉按合同办事。</w:t>
      </w:r>
    </w:p>
    <w:p w14:paraId="51F26CE6">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(三)双方的业务活动坚持公开、公正、诚信、透明的原则(法律认定的商业秘密和合同文件另有规定除外)，不得损害国家和集体利益，不得违反工程建设管理规章制度。</w:t>
      </w:r>
    </w:p>
    <w:p w14:paraId="3FEE8ED7">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(四)建立健全廉政制度，开展廉政教育，设立廉政告示牌，公布举报电话，监督并认真查处违法违纪行为。</w:t>
      </w:r>
    </w:p>
    <w:p w14:paraId="5867C91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(五)发现对方在业务活动中有违反廉政规定的行为，有及时提醒对方纠正的权利和义务。</w:t>
      </w:r>
    </w:p>
    <w:p w14:paraId="0395B73A">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(六)发现各方严重违反本合同义务条款的行为，有向其上级有关部门举报、建议给予处理并要求告知处理结果的权利。</w:t>
      </w:r>
    </w:p>
    <w:p w14:paraId="5E5EDBB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第二条甲方的义务</w:t>
      </w:r>
    </w:p>
    <w:p w14:paraId="59E61C7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(一)甲方及其工作人员不得索要或接受乙方的礼金、有价证券和贵重物品，不得在乙方报销任何应由甲方或甲方工作人员个人支付的费用等。</w:t>
      </w:r>
    </w:p>
    <w:p w14:paraId="35E92D13">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(二)甲方工作人员不得参加乙方安排的超标准宴请和娱乐活动；不得接受乙方提供的通讯工具、交通工具和高档办公用品等。</w:t>
      </w:r>
    </w:p>
    <w:p w14:paraId="5CF4F788">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(三)甲方及其工作人员不得要求或者接受乙方为其住房装修、婚丧嫁娶活动、配偶子女及其亲属的工作安排以及出国出境、旅游等提供方便等。</w:t>
      </w:r>
    </w:p>
    <w:p w14:paraId="68D60A3A">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(四)不准向乙方和相关单位介绍或为配偶、子女、亲属参与同本方案设计合同有关的方案设计业务等活动。不得以任何理由要求乙方和相关单位在设计中使用某种产品、材料和设备。</w:t>
      </w:r>
    </w:p>
    <w:p w14:paraId="2DE8C97C">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第三条乙方的义务</w:t>
      </w:r>
    </w:p>
    <w:p w14:paraId="37B1FB1C">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(一)乙方不得以任何理由向甲方及其工作人员行贿或馈赠礼金、有价证券、贵重礼品。</w:t>
      </w:r>
    </w:p>
    <w:p w14:paraId="42B2478A">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(二)乙方不得以任何名义为甲方及其工作人员报销应由甲方单位或个人支付的任何费用。</w:t>
      </w:r>
    </w:p>
    <w:p w14:paraId="0FFFA684">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(三)乙方不得以任何理由安排甲方工作人员参加超标准宴请及娱乐活动。</w:t>
      </w:r>
    </w:p>
    <w:p w14:paraId="288C0AC4">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(四)乙方不得为甲方单位和个人购置或提供通讯工具、交通工具和高档办公用品等。</w:t>
      </w:r>
    </w:p>
    <w:p w14:paraId="505BEF43">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第四条违约责任</w:t>
      </w:r>
    </w:p>
    <w:p w14:paraId="436B9533">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(一)甲方及其工作人员违反本合同第一、二条，按管理权限，依据有关规定给予党纪、政纪或组织处理；涉嫌犯罪的，移交司法机关追究刑事责任；给乙方单位造成经济损失的，应予以赔偿。</w:t>
      </w:r>
    </w:p>
    <w:p w14:paraId="3EEFD7E5">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14:paraId="343AA347">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第五条双方约定：本合同由双方或双方上级单位的纪检监察部门负责监督执行。</w:t>
      </w:r>
    </w:p>
    <w:p w14:paraId="1D74A290">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第六条本合同有效期为甲乙双方签署之日起至《协议书》（即本次政府采购主合同）失效日止。</w:t>
      </w:r>
    </w:p>
    <w:p w14:paraId="184AD020">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第七条本合同作为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Hans"/>
        </w:rPr>
        <w:t>合同的附件，与服务合同具有同等的法律效力，经合同双方签署后立即生效。</w:t>
      </w:r>
    </w:p>
    <w:p w14:paraId="6D5893A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第八条 本合同一式 八 份，具有同等法律效力，双方各执四份，</w:t>
      </w:r>
      <w:r>
        <w:rPr>
          <w:rFonts w:hint="eastAsia" w:ascii="宋体" w:hAnsi="宋体" w:cs="宋体"/>
          <w:color w:val="auto"/>
          <w:sz w:val="24"/>
          <w:szCs w:val="24"/>
          <w:highlight w:val="none"/>
          <w:lang w:val="en-US" w:eastAsia="zh-CN"/>
        </w:rPr>
        <w:t>双方法定代表</w:t>
      </w:r>
      <w:r>
        <w:rPr>
          <w:rFonts w:hint="eastAsia" w:ascii="宋体" w:hAnsi="宋体" w:cs="宋体"/>
          <w:color w:val="auto"/>
          <w:sz w:val="24"/>
          <w:szCs w:val="24"/>
          <w:highlight w:val="none"/>
          <w:lang w:val="en-US" w:eastAsia="zh-Hans"/>
        </w:rPr>
        <w:t>人或授权代表签字并加盖单位公章之日生效</w:t>
      </w:r>
      <w:r>
        <w:rPr>
          <w:rFonts w:hint="eastAsia" w:ascii="宋体" w:hAnsi="宋体" w:cs="宋体"/>
          <w:color w:val="auto"/>
          <w:sz w:val="24"/>
          <w:szCs w:val="24"/>
          <w:highlight w:val="none"/>
          <w:lang w:val="en-US" w:eastAsia="zh-CN"/>
        </w:rPr>
        <w:t>。</w:t>
      </w:r>
    </w:p>
    <w:p w14:paraId="7026D6C0">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p>
    <w:p w14:paraId="35D52875">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p>
    <w:p w14:paraId="7E1472F5">
      <w:pPr>
        <w:pStyle w:val="2"/>
        <w:rPr>
          <w:rFonts w:hint="eastAsia"/>
          <w:lang w:val="en-US" w:eastAsia="zh-Hans"/>
        </w:rPr>
      </w:pPr>
    </w:p>
    <w:p w14:paraId="320620E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甲方：陕西省公路局</w:t>
      </w:r>
      <w:r>
        <w:rPr>
          <w:rFonts w:hint="eastAsia" w:ascii="宋体" w:hAnsi="宋体" w:cs="宋体"/>
          <w:color w:val="auto"/>
          <w:sz w:val="24"/>
          <w:szCs w:val="24"/>
          <w:highlight w:val="none"/>
          <w:lang w:val="en-US" w:eastAsia="zh-CN"/>
        </w:rPr>
        <w:t>（公章）</w:t>
      </w:r>
    </w:p>
    <w:p w14:paraId="432C203B">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法定代表人或其委托代理人：</w:t>
      </w:r>
    </w:p>
    <w:p w14:paraId="6C4BF05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 xml:space="preserve">年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Hans"/>
        </w:rPr>
        <w:t>月</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Hans"/>
        </w:rPr>
        <w:t>日</w:t>
      </w:r>
    </w:p>
    <w:p w14:paraId="1D51DF6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p>
    <w:p w14:paraId="38F83B4C">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乙方：</w:t>
      </w:r>
      <w:r>
        <w:rPr>
          <w:rFonts w:hint="eastAsia" w:ascii="宋体" w:hAnsi="宋体" w:cs="宋体"/>
          <w:color w:val="auto"/>
          <w:sz w:val="24"/>
          <w:szCs w:val="24"/>
          <w:highlight w:val="none"/>
          <w:lang w:val="en-US" w:eastAsia="zh-CN"/>
        </w:rPr>
        <w:t xml:space="preserve">                    （公章）</w:t>
      </w:r>
    </w:p>
    <w:p w14:paraId="291453B3">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法定代表人或其委托代理人：</w:t>
      </w:r>
    </w:p>
    <w:p w14:paraId="0423FF2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 xml:space="preserve">年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Hans"/>
        </w:rPr>
        <w:t xml:space="preserve"> 月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Hans"/>
        </w:rPr>
        <w:t xml:space="preserve"> 日</w:t>
      </w:r>
    </w:p>
    <w:p w14:paraId="5D636561">
      <w:pPr>
        <w:pStyle w:val="6"/>
        <w:rPr>
          <w:rFonts w:hint="eastAsia"/>
          <w:color w:val="auto"/>
          <w:highlight w:val="none"/>
          <w:lang w:val="en-US" w:eastAsia="zh-CN"/>
        </w:rPr>
      </w:pPr>
    </w:p>
    <w:p w14:paraId="5951F8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DD0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2025-05-15T07:31:55Z</dcterms:created>
  <dc:creator>Administrator.PC-20221020ZCWL</dc:creator>
  <cp:lastModifiedBy>Administrator</cp:lastModifiedBy>
  <dcterms:modified xsi:type="dcterms:W3CDTF">2025-05-15T07:32:15Z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eyJoZGlkIjoiNzQ1NWFkYTA1NDZkMzI3NGM4ODJkN2U4NzJkNzNkMWYifQ==</vt:lpwstr>
  </property>
  <property fmtid="{D5CDD505-2E9C-101B-9397-08002B2CF9AE}" pid="4" name="ICV">
    <vt:lpwstr>537264E5F86C43DBAB47BC05B18FDA64_12</vt:lpwstr>
  </property>
</Properties>
</file>