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版本号：GXCZ-C-2557029820250519001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综合平台部省联动试点方案编制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GXCZ-C-25570298</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国信招标集团股份有限公司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综合平台部省联动试点方案编制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GXCZ-C-25570298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综合平台部省联动试点方案编制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省厅工作安排，按照交通运输部《组织开展国家综合交通运输信息平台部省联动试点申报工作的通知》和《国家综合交通运输信息平台部省联动试点工作管理办法（试行）》的要求，从背景与必要性、开展试点所具备优势、试点任务、预期目标、进度安排和保障措施等方面编制《（陕西省）国家综合交通运输信息平台部省联动试点实施方案》。同时结合《陕西省交通运输厅数字化建设总体设计》和公路水路交通基础设施数字化转型升级工作，统筹梳理编制部省联动试点配套工程的技术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豆老师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029-888629271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虚拟账号：30206098009056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联系人：肖君玲、贾天佼、刘洋</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地址：陕西省西安市南二环成长大厦20楼</w:t>
      </w:r>
    </w:p>
    <w:p>
      <w:pPr>
        <w:pStyle w:val="null3"/>
      </w:pPr>
      <w:r>
        <w:rPr>
          <w:rFonts w:ascii="仿宋_GB2312" w:hAnsi="仿宋_GB2312" w:cs="仿宋_GB2312" w:eastAsia="仿宋_GB2312"/>
        </w:rPr>
        <w:t>邮编：陕西省西安市南二环成长大厦20楼</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32"/>
        </w:rPr>
        <w:t>按照交通运输部《组织开展国家综合交通运输信息平台部省联动试点申报工作的通知》和《国家综合交通运输信息平台部省联动试点工作管理办法（试行）》的要求，从背景与必要性、开展试点所具备优势、试点任务、预期目标、进度安排和保障措施等方面编制《（陕西省）国家综合交通运输信息平台部省联动试点实施方案》。同时结合《陕西省交通运输厅数字化建设总体设计》和公路水路交通基础设施数字化转型升级工作，统筹梳理编制部省联动试点配套工程的技术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324,000.00</w:t>
      </w:r>
    </w:p>
    <w:p>
      <w:pPr>
        <w:pStyle w:val="null3"/>
      </w:pPr>
      <w:r>
        <w:rPr>
          <w:rFonts w:ascii="仿宋_GB2312" w:hAnsi="仿宋_GB2312" w:cs="仿宋_GB2312" w:eastAsia="仿宋_GB2312"/>
        </w:rPr>
        <w:t>采购包最高限价（元）: 324,000.00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综合平台部省联动试点方案编制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标的名称：综合平台部省联动试点方案编制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编制《（陕西省）国家综合交通运输信息平台部省联动试点实施方案》</w:t>
            </w:r>
            <w:r>
              <w:rPr>
                <w:rFonts w:ascii="仿宋_GB2312" w:hAnsi="仿宋_GB2312" w:cs="仿宋_GB2312" w:eastAsia="仿宋_GB2312"/>
              </w:rPr>
              <w:t>:</w:t>
            </w:r>
          </w:p>
          <w:p>
            <w:pPr>
              <w:pStyle w:val="null3"/>
              <w:jc w:val="both"/>
            </w:pPr>
            <w:r>
              <w:rPr>
                <w:rFonts w:ascii="仿宋_GB2312" w:hAnsi="仿宋_GB2312" w:cs="仿宋_GB2312" w:eastAsia="仿宋_GB2312"/>
              </w:rPr>
              <w:t>应按照《国家综合交通运输信息平台部省联动试点工作管理办法（试行）》的要求，结合《陕西省交通运输厅数字化建设总体设计》编制。主要内容包括：</w:t>
            </w:r>
          </w:p>
          <w:p>
            <w:pPr>
              <w:pStyle w:val="null3"/>
              <w:jc w:val="both"/>
            </w:pPr>
            <w:r>
              <w:rPr>
                <w:rFonts w:ascii="仿宋_GB2312" w:hAnsi="仿宋_GB2312" w:cs="仿宋_GB2312" w:eastAsia="仿宋_GB2312"/>
              </w:rPr>
              <w:t>1</w:t>
            </w:r>
            <w:r>
              <w:rPr>
                <w:rFonts w:ascii="仿宋_GB2312" w:hAnsi="仿宋_GB2312" w:cs="仿宋_GB2312" w:eastAsia="仿宋_GB2312"/>
              </w:rPr>
              <w:t>．背景与必要性。综述相关工作基础条件以及存在的问题，提出开展部省联动试点的必要性。</w:t>
            </w:r>
          </w:p>
          <w:p>
            <w:pPr>
              <w:pStyle w:val="null3"/>
              <w:jc w:val="both"/>
            </w:pPr>
            <w:r>
              <w:rPr>
                <w:rFonts w:ascii="仿宋_GB2312" w:hAnsi="仿宋_GB2312" w:cs="仿宋_GB2312" w:eastAsia="仿宋_GB2312"/>
              </w:rPr>
              <w:t>2</w:t>
            </w:r>
            <w:r>
              <w:rPr>
                <w:rFonts w:ascii="仿宋_GB2312" w:hAnsi="仿宋_GB2312" w:cs="仿宋_GB2312" w:eastAsia="仿宋_GB2312"/>
              </w:rPr>
              <w:t>．开展试点所具备的优势。依据《国家综合交通运输信息平台实施方案（</w:t>
            </w:r>
            <w:r>
              <w:rPr>
                <w:rFonts w:ascii="仿宋_GB2312" w:hAnsi="仿宋_GB2312" w:cs="仿宋_GB2312" w:eastAsia="仿宋_GB2312"/>
              </w:rPr>
              <w:t>2022-2025</w:t>
            </w:r>
            <w:r>
              <w:rPr>
                <w:rFonts w:ascii="仿宋_GB2312" w:hAnsi="仿宋_GB2312" w:cs="仿宋_GB2312" w:eastAsia="仿宋_GB2312"/>
              </w:rPr>
              <w:t>年）》提出的部省联动目标与实施路径，重点围绕我省业务协调联动、数据交换共享等方面部省联动特点，说明陕西省开展试点所具备的优势。</w:t>
            </w:r>
          </w:p>
          <w:p>
            <w:pPr>
              <w:pStyle w:val="null3"/>
              <w:jc w:val="both"/>
            </w:pPr>
            <w:r>
              <w:rPr>
                <w:rFonts w:ascii="仿宋_GB2312" w:hAnsi="仿宋_GB2312" w:cs="仿宋_GB2312" w:eastAsia="仿宋_GB2312"/>
              </w:rPr>
              <w:t>3</w:t>
            </w:r>
            <w:r>
              <w:rPr>
                <w:rFonts w:ascii="仿宋_GB2312" w:hAnsi="仿宋_GB2312" w:cs="仿宋_GB2312" w:eastAsia="仿宋_GB2312"/>
              </w:rPr>
              <w:t>．试点任务。从视频联网、应急调度、监测预警、综合执法和政务服务等任务方向，明确试点内容、预期成果和目标等。</w:t>
            </w:r>
          </w:p>
          <w:p>
            <w:pPr>
              <w:pStyle w:val="null3"/>
              <w:jc w:val="both"/>
            </w:pPr>
            <w:r>
              <w:rPr>
                <w:rFonts w:ascii="仿宋_GB2312" w:hAnsi="仿宋_GB2312" w:cs="仿宋_GB2312" w:eastAsia="仿宋_GB2312"/>
                <w:sz w:val="18"/>
              </w:rPr>
              <w:t>4．保障措施。提出我省支持试点工作有序推进的工作机制、资金投入、人员配备等保障措施。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编制部省联动试点配套工程的技术方案：明确部省联动试点任务中配套工程的建设单位、建设目标、规模与内容、初步建设方案、实施进度等，支撑省厅决策、指导配套工程实施。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通过采购人组织的验收。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供应商完成服务内容经采购人验收通过后提供相应发票给采购人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2.未按合同或政府采购招投标文件要求提供产品、服务，或供应的产品、服务质量不能满足甲方技术要求，经书面告知在合理期限内整改但仍不予调整的，甲方有权终止合同，并有权对乙方违约行为进行追究。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4.甲方的违约责任 甲方因自身原因不按合同约定向乙方付款，每逾期一天，须按迟延付款额的_0.01%_向乙方支付延期付款的违约金。 甲方不按照合同约定提供相关资料及其它协作事项的，应提前7个日历天书面通知乙方，项目完成时间予以顺延。 5.乙方的违约责任 乙方未按照本合同约定保质保量提供产品或服务，经甲方催告后履行仍不符合合同约定的，甲方有权解除本合同，同时有权要求乙方按照合同价款的10%承担违约金。甲方维权支付的诉讼费、保全费、律师费等费用由乙方承担。 合同履行期限结束，乙方未能按期完成服务期限的内容，乙方应继续履行自身义务直至符合合同约定。同时从合同履行期限届满之日开始起算，每逾期一天按合同总金额的 0.03% 向甲方支付违约金。 若本项目经甲方验收不合格，甲方有权要求乙方在10日历天内整改完善，乙方必须予以整改完善。因此导致成果逾期提交的，履行期限不予顺延，每逾期一天，应按合同总金额的0.03%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30%，但甲方的实际损失超过合同总金额30%的，乙方应当承担补足责任。 甲乙双方任何一方违反保密义务的，违约方应向对方支付合同总金额10%的违约金，违约金不足以弥补对方损失的还应当承担补足责任。 乙方没有甲方的书面同意转让合同或将项目的全部或部分分包或转包出去，甲方可向乙方发出书面违约通知书，提出终止部分或全部合同。若甲方部分终止合同的，乙方应继续履行合同其他义务，并按照合同金额的10%支付违约金。若甲方全部终止合同的，乙方应按合同总金额30%的支付违约金。同时甲方的实际损失超过合同总金额30%的，乙方应当承担补足责任。 乙方违反合同约定的其它责任、义务视为违约，需向甲方支付合同总价款的30%违约金。同时甲方的实际损失超过合同总金额30%的，乙方应当承担补足责任。 合同争议的解决：合同执行中发生争议的，当事人双方应协商解决，协商达不成一致时，可向甲方所在地人民法院提请诉讼。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1.安全保密： 签订《综合平台部省联动试点方案编制保密协议》，确保信息安全。 2.质量标准： 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磋商报价明显低于其他通过符合性审查供应商的磋商报价，有可能影响产品质量或者不能诚信履约的，，磋商小组应当要求其在评审现场合理的时间内提供成本构成书面说明，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符合磋商文件第三章“3.3商务要求”。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符合磋商文件第三章“3.2服务内容及服务要求响应”中★条款要求。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供应商应满足磋商文件的实质性要求，也不得存在磋商文件规定的无效情形。</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行业及项目理解</w:t>
            </w:r>
          </w:p>
        </w:tc>
        <w:tc>
          <w:tcPr>
            <w:tcW w:type="dxa" w:w="2492"/>
          </w:tcPr>
          <w:p>
            <w:pPr>
              <w:pStyle w:val="null3"/>
            </w:pPr>
            <w:r>
              <w:rPr>
                <w:rFonts w:ascii="仿宋_GB2312" w:hAnsi="仿宋_GB2312" w:cs="仿宋_GB2312" w:eastAsia="仿宋_GB2312"/>
              </w:rPr>
              <w:t>对部省联动试点方案和陕西交通数字化框架有深刻理解，分析全面、详细、准确、充分的得15分，描述无缺漏但不完整详尽的得10分，描述有缺漏且不完整详尽的得5，没有不得分。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方案编制的难点问题及对策</w:t>
            </w:r>
          </w:p>
        </w:tc>
        <w:tc>
          <w:tcPr>
            <w:tcW w:type="dxa" w:w="2492"/>
          </w:tcPr>
          <w:p>
            <w:pPr>
              <w:pStyle w:val="null3"/>
            </w:pPr>
            <w:r>
              <w:rPr>
                <w:rFonts w:ascii="仿宋_GB2312" w:hAnsi="仿宋_GB2312" w:cs="仿宋_GB2312" w:eastAsia="仿宋_GB2312"/>
              </w:rPr>
              <w:t>准确识别陕西省部省联动试点方案中与部平台对接的难点问题，提出对策切实可行、针对性强的得10分，识别部分难点问题，对策较为合理、针对性一般的得6分，未能准确识别难点问题，对策缺乏针对性的得2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整体规划设计方案</w:t>
            </w:r>
          </w:p>
        </w:tc>
        <w:tc>
          <w:tcPr>
            <w:tcW w:type="dxa" w:w="2492"/>
          </w:tcPr>
          <w:p>
            <w:pPr>
              <w:pStyle w:val="null3"/>
            </w:pPr>
            <w:r>
              <w:rPr>
                <w:rFonts w:ascii="仿宋_GB2312" w:hAnsi="仿宋_GB2312" w:cs="仿宋_GB2312" w:eastAsia="仿宋_GB2312"/>
              </w:rPr>
              <w:t>方案与陕西交通实际情况吻合良好，可操作性强，落地性高，描述无缺漏详细具体的得15分，描述无缺漏但不完整详尽的得10分，描述有缺漏且不完整详尽的得5分，没有不得分。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编制依据、 进度计划保证措施</w:t>
            </w:r>
          </w:p>
        </w:tc>
        <w:tc>
          <w:tcPr>
            <w:tcW w:type="dxa" w:w="2492"/>
          </w:tcPr>
          <w:p>
            <w:pPr>
              <w:pStyle w:val="null3"/>
            </w:pPr>
            <w:r>
              <w:rPr>
                <w:rFonts w:ascii="仿宋_GB2312" w:hAnsi="仿宋_GB2312" w:cs="仿宋_GB2312" w:eastAsia="仿宋_GB2312"/>
              </w:rPr>
              <w:t>编制依据符合国家行业标准、规范，进度计划保证措施目标控制明确，措施合理有效。描述完整详细具体的得10分，描述不完整详尽的得6分，描述有缺漏且不完整详尽的得2分，没有不得分。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服务质量保证措施内容总体思路清晰、合理、可行性强，能够有效保障服务质量得10分；总体思路较清晰、合理，可行性较强，能有效保障服务质量得6分；总体思路基本清晰，基本能够保障服务质量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供应商对本项目提出合理化建议，描述合理、可行的得5分，描述合理但可行性不够好的得3分，描述不合理、不可行的得1分，没有不得分。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专家团队资历</w:t>
            </w:r>
          </w:p>
        </w:tc>
        <w:tc>
          <w:tcPr>
            <w:tcW w:type="dxa" w:w="2492"/>
          </w:tcPr>
          <w:p>
            <w:pPr>
              <w:pStyle w:val="null3"/>
            </w:pPr>
            <w:r>
              <w:rPr>
                <w:rFonts w:ascii="仿宋_GB2312" w:hAnsi="仿宋_GB2312" w:cs="仿宋_GB2312" w:eastAsia="仿宋_GB2312"/>
              </w:rPr>
              <w:t>供应商应为本项目配备具有编制信息化方案能力的专家团队。具有副高级（含）以上技术职称的，每提供一个得2分，满分10分。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提供2022年1月1日至磋商响应文件提交截止时间供应商信息化咨询设计等同类型项目的业绩，每出具一个得3分，本项最多得分15分。 注：提供完整的合同复印件证明业绩有效，业绩所属时间以合同签订时间为准）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 各供应商的报价得分按下列公式计算： 报价得分=（基准价/磋商报价）×10 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首轮报价表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