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3"/>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6"/>
        <w:rPr>
          <w:rFonts w:ascii="仿宋" w:hAnsi="仿宋" w:eastAsia="仿宋" w:cs="仿宋"/>
          <w:b/>
          <w:bCs/>
          <w:color w:val="auto"/>
          <w:sz w:val="30"/>
          <w:szCs w:val="30"/>
          <w:highlight w:val="none"/>
          <w:lang w:eastAsia="zh-CN"/>
        </w:rPr>
      </w:pPr>
    </w:p>
    <w:p>
      <w:pPr>
        <w:pStyle w:val="6"/>
        <w:rPr>
          <w:rFonts w:ascii="仿宋" w:hAnsi="仿宋" w:eastAsia="仿宋" w:cs="仿宋"/>
          <w:b/>
          <w:bCs/>
          <w:color w:val="auto"/>
          <w:sz w:val="30"/>
          <w:szCs w:val="30"/>
          <w:highlight w:val="none"/>
          <w:lang w:eastAsia="zh-CN"/>
        </w:rPr>
      </w:pPr>
    </w:p>
    <w:p>
      <w:pPr>
        <w:rPr>
          <w:color w:val="auto"/>
          <w:highlight w:val="none"/>
          <w:lang w:eastAsia="zh-CN"/>
        </w:rPr>
      </w:pPr>
    </w:p>
    <w:p>
      <w:pPr>
        <w:pStyle w:val="3"/>
        <w:rPr>
          <w:rFonts w:ascii="仿宋" w:hAnsi="仿宋" w:eastAsia="仿宋" w:cs="仿宋"/>
          <w:color w:val="auto"/>
          <w:highlight w:val="none"/>
          <w:lang w:eastAsia="zh-CN"/>
        </w:rPr>
      </w:pPr>
    </w:p>
    <w:p>
      <w:pPr>
        <w:pStyle w:val="3"/>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pPr>
        <w:rPr>
          <w:rFonts w:ascii="仿宋" w:hAnsi="仿宋" w:eastAsia="仿宋" w:cs="仿宋"/>
          <w:color w:val="auto"/>
          <w:highlight w:val="none"/>
          <w:lang w:eastAsia="zh-CN"/>
        </w:rPr>
      </w:pPr>
    </w:p>
    <w:p>
      <w:pPr>
        <w:rPr>
          <w:rFonts w:ascii="仿宋" w:hAnsi="仿宋" w:eastAsia="仿宋" w:cs="仿宋"/>
          <w:color w:val="auto"/>
          <w:highlight w:val="none"/>
          <w:lang w:eastAsia="zh-CN"/>
        </w:rPr>
      </w:pP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jc w:val="center"/>
        <w:rPr>
          <w:rFonts w:ascii="仿宋" w:hAnsi="仿宋" w:eastAsia="仿宋" w:cs="仿宋"/>
          <w:b/>
          <w:color w:val="auto"/>
          <w:sz w:val="36"/>
          <w:szCs w:val="36"/>
          <w:highlight w:val="none"/>
          <w:lang w:eastAsia="zh-CN"/>
        </w:rPr>
      </w:pPr>
    </w:p>
    <w:p>
      <w:pPr>
        <w:jc w:val="center"/>
        <w:rPr>
          <w:rFonts w:ascii="仿宋" w:hAnsi="仿宋" w:eastAsia="仿宋" w:cs="仿宋"/>
          <w:b/>
          <w:color w:val="auto"/>
          <w:sz w:val="36"/>
          <w:szCs w:val="36"/>
          <w:highlight w:val="none"/>
          <w:lang w:eastAsia="zh-CN"/>
        </w:rPr>
      </w:pPr>
    </w:p>
    <w:p>
      <w:pPr>
        <w:rPr>
          <w:rFonts w:ascii="仿宋" w:hAnsi="仿宋" w:eastAsia="仿宋" w:cs="仿宋"/>
          <w:b/>
          <w:color w:val="auto"/>
          <w:sz w:val="36"/>
          <w:szCs w:val="36"/>
          <w:highlight w:val="none"/>
          <w:lang w:eastAsia="zh-CN"/>
        </w:rPr>
      </w:pPr>
    </w:p>
    <w:p>
      <w:pPr>
        <w:spacing w:before="156" w:beforeLines="50" w:line="360" w:lineRule="auto"/>
        <w:jc w:val="center"/>
        <w:rPr>
          <w:rFonts w:ascii="仿宋" w:hAnsi="仿宋" w:eastAsia="仿宋" w:cs="仿宋"/>
          <w:b/>
          <w:bCs/>
          <w:color w:val="auto"/>
          <w:sz w:val="36"/>
          <w:szCs w:val="36"/>
          <w:highlight w:val="none"/>
          <w:lang w:eastAsia="zh-CN"/>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pPr>
        <w:keepNext w:val="0"/>
        <w:keepLines w:val="0"/>
        <w:pageBreakBefore w:val="0"/>
        <w:widowControl/>
        <w:kinsoku/>
        <w:wordWrap/>
        <w:overflowPunct/>
        <w:topLinePunct w:val="0"/>
        <w:autoSpaceDE w:val="0"/>
        <w:autoSpaceDN w:val="0"/>
        <w:bidi w:val="0"/>
        <w:adjustRightInd w:val="0"/>
        <w:snapToGrid w:val="0"/>
        <w:spacing w:after="0" w:afterLines="50" w:line="540" w:lineRule="exact"/>
        <w:jc w:val="center"/>
        <w:textAlignment w:val="baseline"/>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eastAsia="zh-CN"/>
        </w:rPr>
        <w:t>合同协议书</w:t>
      </w:r>
    </w:p>
    <w:p>
      <w:pPr>
        <w:keepNext w:val="0"/>
        <w:keepLines w:val="0"/>
        <w:pageBreakBefore w:val="0"/>
        <w:kinsoku/>
        <w:wordWrap/>
        <w:overflowPunct/>
        <w:topLinePunct w:val="0"/>
        <w:bidi w:val="0"/>
        <w:adjustRightInd w:val="0"/>
        <w:snapToGrid w:val="0"/>
        <w:spacing w:line="480" w:lineRule="exact"/>
        <w:ind w:firstLine="562" w:firstLineChars="200"/>
        <w:jc w:val="both"/>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甲方</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lang w:val="en-US" w:eastAsia="zh-CN"/>
        </w:rPr>
        <w:t>采购人</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pPr>
        <w:keepNext w:val="0"/>
        <w:keepLines w:val="0"/>
        <w:pageBreakBefore w:val="0"/>
        <w:tabs>
          <w:tab w:val="left" w:pos="7423"/>
        </w:tabs>
        <w:kinsoku/>
        <w:wordWrap/>
        <w:overflowPunct/>
        <w:topLinePunct w:val="0"/>
        <w:bidi w:val="0"/>
        <w:adjustRightInd w:val="0"/>
        <w:snapToGrid w:val="0"/>
        <w:spacing w:line="480" w:lineRule="exact"/>
        <w:ind w:firstLine="562" w:firstLineChars="200"/>
        <w:jc w:val="both"/>
        <w:rPr>
          <w:rFonts w:hint="eastAsia" w:ascii="宋体" w:hAnsi="宋体" w:eastAsia="宋体" w:cs="宋体"/>
          <w:b/>
          <w:color w:val="auto"/>
          <w:sz w:val="28"/>
          <w:szCs w:val="28"/>
          <w:highlight w:val="none"/>
          <w:u w:val="single"/>
          <w:lang w:eastAsia="zh-CN"/>
        </w:rPr>
      </w:pPr>
      <w:r>
        <w:rPr>
          <w:rFonts w:hint="eastAsia" w:ascii="宋体" w:hAnsi="宋体" w:eastAsia="宋体" w:cs="宋体"/>
          <w:b/>
          <w:color w:val="auto"/>
          <w:sz w:val="28"/>
          <w:szCs w:val="28"/>
          <w:highlight w:val="none"/>
        </w:rPr>
        <w:t>乙方</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lang w:val="en-US" w:eastAsia="zh-CN"/>
        </w:rPr>
        <w:t>供应商</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根据《中华人民共和国民法典》及其他有关法律、法规，遵循平等、自愿、公平和诚信的原则，双方就下述项目范围与相关服务事项协商一致，订立本合同。</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一、项目概况</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依据《公路养护统计调查制度》《公路技术状况评定标准》(JTG 5120—2021)要求，完成新增普通省道约8350车道公里路面技术状况检测评定，根据检测数据进行新增普通省道养护需求分析，为路面养护决策提出辅助建议。</w:t>
      </w:r>
    </w:p>
    <w:p>
      <w:pPr>
        <w:keepNext w:val="0"/>
        <w:keepLines w:val="0"/>
        <w:pageBreakBefore w:val="0"/>
        <w:kinsoku/>
        <w:wordWrap/>
        <w:overflowPunct/>
        <w:topLinePunct w:val="0"/>
        <w:bidi w:val="0"/>
        <w:adjustRightInd w:val="0"/>
        <w:snapToGrid w:val="0"/>
        <w:spacing w:line="480" w:lineRule="exact"/>
        <w:ind w:firstLine="562" w:firstLineChars="200"/>
        <w:jc w:val="both"/>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lang w:val="en-US" w:eastAsia="zh-CN"/>
        </w:rPr>
        <w:t>采购包1</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pPr>
        <w:keepNext w:val="0"/>
        <w:keepLines w:val="0"/>
        <w:pageBreakBefore w:val="0"/>
        <w:tabs>
          <w:tab w:val="left" w:pos="7423"/>
        </w:tabs>
        <w:kinsoku/>
        <w:wordWrap/>
        <w:overflowPunct/>
        <w:topLinePunct w:val="0"/>
        <w:bidi w:val="0"/>
        <w:adjustRightInd w:val="0"/>
        <w:snapToGrid w:val="0"/>
        <w:spacing w:line="480" w:lineRule="exact"/>
        <w:ind w:firstLine="562" w:firstLineChars="200"/>
        <w:jc w:val="both"/>
        <w:rPr>
          <w:rFonts w:hint="eastAsia" w:ascii="宋体" w:hAnsi="宋体" w:eastAsia="宋体" w:cs="宋体"/>
          <w:b/>
          <w:color w:val="auto"/>
          <w:sz w:val="28"/>
          <w:szCs w:val="28"/>
          <w:highlight w:val="none"/>
          <w:u w:val="single"/>
          <w:lang w:eastAsia="zh-CN"/>
        </w:rPr>
      </w:pPr>
      <w:r>
        <w:rPr>
          <w:rFonts w:hint="eastAsia" w:ascii="宋体" w:hAnsi="宋体" w:eastAsia="宋体" w:cs="宋体"/>
          <w:b/>
          <w:color w:val="auto"/>
          <w:sz w:val="28"/>
          <w:szCs w:val="28"/>
          <w:highlight w:val="none"/>
          <w:lang w:val="en-US" w:eastAsia="zh-CN"/>
        </w:rPr>
        <w:t>采购包2</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u w:val="single"/>
          <w:lang w:val="en-US" w:eastAsia="zh-CN"/>
        </w:rPr>
        <w:t xml:space="preserve">                         </w:t>
      </w:r>
      <w:r>
        <w:rPr>
          <w:rFonts w:hint="eastAsia" w:ascii="宋体" w:hAnsi="宋体" w:eastAsia="宋体" w:cs="宋体"/>
          <w:b/>
          <w:color w:val="auto"/>
          <w:sz w:val="28"/>
          <w:szCs w:val="28"/>
          <w:highlight w:val="none"/>
          <w:u w:val="single"/>
        </w:rPr>
        <w:t xml:space="preserve">  </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二、组成本合同的文件</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 协议书；</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val="en-US" w:eastAsia="zh-CN"/>
        </w:rPr>
        <w:t>成交</w:t>
      </w:r>
      <w:r>
        <w:rPr>
          <w:rFonts w:hint="eastAsia" w:ascii="宋体" w:hAnsi="宋体" w:eastAsia="宋体" w:cs="宋体"/>
          <w:color w:val="auto"/>
          <w:sz w:val="28"/>
          <w:szCs w:val="28"/>
          <w:highlight w:val="none"/>
        </w:rPr>
        <w:t>通知书、</w:t>
      </w:r>
      <w:r>
        <w:rPr>
          <w:rFonts w:hint="eastAsia" w:ascii="宋体" w:hAnsi="宋体" w:eastAsia="宋体" w:cs="宋体"/>
          <w:color w:val="auto"/>
          <w:sz w:val="28"/>
          <w:szCs w:val="28"/>
          <w:highlight w:val="none"/>
          <w:lang w:val="en-US" w:eastAsia="zh-CN"/>
        </w:rPr>
        <w:t>响应</w:t>
      </w:r>
      <w:r>
        <w:rPr>
          <w:rFonts w:hint="eastAsia" w:ascii="宋体" w:hAnsi="宋体" w:eastAsia="宋体" w:cs="宋体"/>
          <w:color w:val="auto"/>
          <w:sz w:val="28"/>
          <w:szCs w:val="28"/>
          <w:highlight w:val="none"/>
        </w:rPr>
        <w:t>文件、</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文件、澄清、措施补充文件；</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 相关服务建议书；</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本合同签订后，双方依法签订的补充协议也是本合同文件的组成部分</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当上述文件如有不明确或不一致之处，以合同约定次序在先者为准</w:t>
      </w:r>
      <w:r>
        <w:rPr>
          <w:rFonts w:hint="eastAsia" w:ascii="宋体" w:hAnsi="宋体" w:eastAsia="宋体" w:cs="宋体"/>
          <w:color w:val="auto"/>
          <w:sz w:val="28"/>
          <w:szCs w:val="28"/>
          <w:highlight w:val="none"/>
        </w:rPr>
        <w:t>。</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三、合同金额</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rPr>
        <w:t xml:space="preserve">合同总价款（含税价）: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元（小写：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w:t>
      </w:r>
      <w:r>
        <w:rPr>
          <w:rFonts w:hint="eastAsia" w:ascii="宋体" w:hAnsi="宋体" w:eastAsia="宋体" w:cs="宋体"/>
          <w:color w:val="auto"/>
          <w:sz w:val="28"/>
          <w:szCs w:val="28"/>
          <w:highlight w:val="none"/>
          <w:lang w:eastAsia="zh-CN"/>
        </w:rPr>
        <w:t>，检测单价</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 xml:space="preserve"> 元/车道公里。</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合同价格为含税价，</w:t>
      </w:r>
      <w:r>
        <w:rPr>
          <w:rFonts w:hint="eastAsia" w:ascii="宋体" w:hAnsi="宋体" w:eastAsia="宋体" w:cs="宋体"/>
          <w:color w:val="auto"/>
          <w:sz w:val="28"/>
          <w:szCs w:val="28"/>
          <w:highlight w:val="none"/>
          <w:lang w:eastAsia="zh-CN"/>
        </w:rPr>
        <w:t>乙方</w:t>
      </w:r>
      <w:r>
        <w:rPr>
          <w:rFonts w:hint="eastAsia" w:ascii="宋体" w:hAnsi="宋体" w:eastAsia="宋体" w:cs="宋体"/>
          <w:color w:val="auto"/>
          <w:sz w:val="28"/>
          <w:szCs w:val="28"/>
          <w:highlight w:val="none"/>
        </w:rPr>
        <w:t>（中标人）提供服务所发生的一切税（包括增值税）费等都已包含于合同价款中。</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四、结算方式</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1.结算单位：银行转账，由</w:t>
      </w:r>
      <w:r>
        <w:rPr>
          <w:rFonts w:hint="eastAsia" w:ascii="宋体" w:hAnsi="宋体" w:eastAsia="宋体" w:cs="宋体"/>
          <w:color w:val="auto"/>
          <w:sz w:val="28"/>
          <w:szCs w:val="28"/>
          <w:highlight w:val="none"/>
          <w:lang w:eastAsia="zh-CN"/>
        </w:rPr>
        <w:t>甲方</w:t>
      </w:r>
      <w:r>
        <w:rPr>
          <w:rFonts w:hint="eastAsia" w:ascii="宋体" w:hAnsi="宋体" w:eastAsia="宋体" w:cs="宋体"/>
          <w:color w:val="auto"/>
          <w:sz w:val="28"/>
          <w:szCs w:val="28"/>
          <w:highlight w:val="none"/>
        </w:rPr>
        <w:t>负责结算。在付款前，</w:t>
      </w:r>
      <w:r>
        <w:rPr>
          <w:rFonts w:hint="eastAsia" w:ascii="宋体" w:hAnsi="宋体" w:eastAsia="宋体" w:cs="宋体"/>
          <w:color w:val="auto"/>
          <w:sz w:val="28"/>
          <w:szCs w:val="28"/>
          <w:highlight w:val="none"/>
          <w:lang w:eastAsia="zh-CN"/>
        </w:rPr>
        <w:t>乙方</w:t>
      </w:r>
      <w:r>
        <w:rPr>
          <w:rFonts w:hint="eastAsia" w:ascii="宋体" w:hAnsi="宋体" w:eastAsia="宋体" w:cs="宋体"/>
          <w:color w:val="auto"/>
          <w:sz w:val="28"/>
          <w:szCs w:val="28"/>
          <w:highlight w:val="none"/>
        </w:rPr>
        <w:t>必须开具增值税发票给</w:t>
      </w:r>
      <w:r>
        <w:rPr>
          <w:rFonts w:hint="eastAsia" w:ascii="宋体" w:hAnsi="宋体" w:eastAsia="宋体" w:cs="宋体"/>
          <w:color w:val="auto"/>
          <w:sz w:val="28"/>
          <w:szCs w:val="28"/>
          <w:highlight w:val="none"/>
          <w:lang w:eastAsia="zh-CN"/>
        </w:rPr>
        <w:t>甲方</w:t>
      </w:r>
      <w:r>
        <w:rPr>
          <w:rFonts w:hint="eastAsia" w:ascii="宋体" w:hAnsi="宋体" w:eastAsia="宋体" w:cs="宋体"/>
          <w:color w:val="auto"/>
          <w:sz w:val="28"/>
          <w:szCs w:val="28"/>
          <w:highlight w:val="none"/>
        </w:rPr>
        <w:t>。</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lang w:val="en-US" w:eastAsia="en-US"/>
        </w:rPr>
      </w:pPr>
      <w:r>
        <w:rPr>
          <w:rFonts w:hint="eastAsia" w:ascii="宋体" w:hAnsi="宋体" w:eastAsia="宋体" w:cs="宋体"/>
          <w:color w:val="auto"/>
          <w:sz w:val="28"/>
          <w:szCs w:val="28"/>
          <w:highlight w:val="none"/>
          <w:lang w:val="en-US" w:eastAsia="en-US"/>
        </w:rPr>
        <w:t xml:space="preserve">2.付款方式： </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（1）合同签订前，乙方须向甲方缴纳合同总额5%履约保证金，履约保证金待乙方履行完毕全部合同义务，并经甲方验收合格，无任何纠纷后无息退还。</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（2）双方签署合同后，甲方收到履约保证金及增值税普通发票后，甲方支付乙方合同总金额的 60.00% ；乙方完成外业检测及报告编制工作，甲方支付乙方合同总金额的 30.00% ；乙方完成合同约定全部内容，提交项目最终成果报告，甲方按照合同单价和乙方实际完成工作量计算并支付剩余合同金额。</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甲方每次付款前，乙方均应开具符合要求的等额的税务发票，否则甲方有权拒绝付款，且不应承担迟延付款的责任。</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（4）乙方超出任务书范围的工程量以及未通过甲方审查的工程量，甲方有权不予结算和支付相应款项。</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（5）甲方有权在项目实施过程中，要求乙方对不满足质量要求的工作进行返工，工期不予顺延。</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（6）检测费金额大于合同金额，应视为乙方可预见风险，按合同总价款支付乙方检测费；检测费金额小于合同金额，</w:t>
      </w:r>
      <w:r>
        <w:rPr>
          <w:rFonts w:hint="eastAsia" w:ascii="宋体" w:hAnsi="宋体" w:eastAsia="宋体" w:cs="宋体"/>
          <w:color w:val="auto"/>
          <w:sz w:val="28"/>
          <w:szCs w:val="28"/>
          <w:highlight w:val="none"/>
          <w:lang w:val="en-US" w:eastAsia="zh-CN"/>
        </w:rPr>
        <w:t>按单价测算据实结算</w:t>
      </w:r>
      <w:r>
        <w:rPr>
          <w:rFonts w:hint="eastAsia" w:ascii="宋体" w:hAnsi="宋体" w:eastAsia="宋体" w:cs="宋体"/>
          <w:color w:val="auto"/>
          <w:sz w:val="28"/>
          <w:szCs w:val="28"/>
          <w:highlight w:val="none"/>
        </w:rPr>
        <w:t>。</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未在规定期限内完成工作任务的，每顺延一天罚金合同金额0.5%。</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（8）延期超过30天的，甲方有权解除合同，并要求乙方赔偿全部损失。</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五、项目主要负责人</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项目经理：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kinsoku/>
        <w:wordWrap/>
        <w:overflowPunct/>
        <w:topLinePunct w:val="0"/>
        <w:autoSpaceDE w:val="0"/>
        <w:autoSpaceDN w:val="0"/>
        <w:bidi w:val="0"/>
        <w:adjustRightInd w:val="0"/>
        <w:snapToGrid w:val="0"/>
        <w:spacing w:line="480" w:lineRule="exact"/>
        <w:ind w:firstLine="560" w:firstLineChars="200"/>
        <w:jc w:val="both"/>
        <w:textAlignment w:val="baseline"/>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lang w:val="en-US" w:eastAsia="zh-CN"/>
        </w:rPr>
        <w:t>项目总工：</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val="en-US" w:eastAsia="zh-CN"/>
        </w:rPr>
        <w:t>；联系方式：</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六</w:t>
      </w:r>
      <w:r>
        <w:rPr>
          <w:rFonts w:hint="eastAsia" w:ascii="宋体" w:hAnsi="宋体" w:eastAsia="宋体" w:cs="宋体"/>
          <w:b/>
          <w:color w:val="auto"/>
          <w:sz w:val="28"/>
          <w:szCs w:val="28"/>
          <w:highlight w:val="none"/>
        </w:rPr>
        <w:t xml:space="preserve">、服务期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合同服务期为合同签订后一年。乙方应从合同签订之日起3个月内完成全部外业检测及报告编制工作并提交甲方。自合同服务期满前应完成合同约定所有义务并经验收合格。</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七</w:t>
      </w:r>
      <w:r>
        <w:rPr>
          <w:rFonts w:hint="eastAsia" w:ascii="宋体" w:hAnsi="宋体" w:eastAsia="宋体" w:cs="宋体"/>
          <w:b/>
          <w:color w:val="auto"/>
          <w:sz w:val="28"/>
          <w:szCs w:val="28"/>
          <w:highlight w:val="none"/>
        </w:rPr>
        <w:t>、主要工作内容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按照《公路路面技术状况自动化检测规程》(JTG/TE61—2014)有关要求，采用多功能路况快速检测车对甲方提供的路段明细进行现场检测及数据处理，并按照《公路技术状况评定标准》（JTG5210-2018）进行数据分析和评定。检测路面平整度、路面破损、车辙、跳车（一级公路）、磨耗（一级公路），并同步采集前方图像和空间定位信息。一级公路按上、下行分别检测第二车道（由内向外），二级及以下公路单向检测（应选择技术状况相对较差方向），严禁为顺路而检测路况较好的方向。</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乙方应对检测路段的基础数据信息进行实地核对，并填写《检测路段信息确认表》，按路面类型分别对路面病害及有效修补率进行统计分析，并以检评数据为支撑，结合历史检测数据，分析路面衰变情况，科学编制养护需求分析报告。完成全省普通省道路况检测总报告、分报告及养护需求白皮书的编制工作。</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八、技术要求：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满足交通运输部、陕西省交通运输主管部门印发的规范性文件以及磋商文件相关技术要求，通过甲方组织的全省路况检测结果反馈会。</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九、</w:t>
      </w:r>
      <w:r>
        <w:rPr>
          <w:rFonts w:hint="eastAsia" w:ascii="宋体" w:hAnsi="宋体" w:eastAsia="宋体" w:cs="宋体"/>
          <w:b/>
          <w:color w:val="auto"/>
          <w:sz w:val="28"/>
          <w:szCs w:val="28"/>
          <w:highlight w:val="none"/>
        </w:rPr>
        <w:t>售后服务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技术支持和售后服务由乙方严格按投标文件及有关承诺执行，提供7*24小时电话咨询服务，出现问题时，2小时内电话响应，12小时内电话解决问题，如有需要48小时内到达故障现场解决问题。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售后服务联系方式：</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如乙方自身原因或不能履行售后服务义务，甲方有权委托第三方处理，由此产生的费用和风险由乙方承担，费用由甲方从履约保证金中直接扣除，不足部分仍由乙方承担。</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十</w:t>
      </w:r>
      <w:r>
        <w:rPr>
          <w:rFonts w:hint="eastAsia" w:ascii="宋体" w:hAnsi="宋体" w:eastAsia="宋体" w:cs="宋体"/>
          <w:b/>
          <w:color w:val="auto"/>
          <w:sz w:val="28"/>
          <w:szCs w:val="28"/>
          <w:highlight w:val="none"/>
        </w:rPr>
        <w:t>、验收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（1）由乙方进行自检合格后，准备验收文件，并书面通知甲方。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（2）甲方确认乙方能够达到合同履约要求后，组织乙方（必要时请有关专家）进行项目验收，验收合格后，填写项目验收单作为对项目的最终认可。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（3）乙方向甲方提交项目实施过程中的所有资料,以便甲方日后管理和维护该项目。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（4）乙方提交的路面养护分析报告须通过省局组织的全省路况检测结果反馈会。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（5）验收依据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①竞争性磋商文件、磋商响应文件、澄清表（函）；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②本合同及附件文本；</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③满足《公路技术状况评定标准》（JTG5210-2018）、《公路路面技术状况自动化检测规程》（JTG/TE61-2014）的相关规定。</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 十一、保密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乙方对工作中了解到的甲方的技术、数据、机密等进行严格保密，不得向他人泄漏。本合同的解除或终止不免除乙方应承担的保密义务。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乙方违反保密规定的，除承担法律责任外，还应向甲方支付合同额20%的惩罚性违约金，违约金不足以弥补甲方损失的，乙方还应予以赔偿。</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    十二、知识产权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     十三、违约责任</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1.甲乙双方必须遵守本合同并执行合同中的各项规定，保证本合同的正常履行。</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4.乙方逾期完成服务的，每逾期一日，向甲方承担合同总价款0.3%的违约金，逾期30日的，甲方有权单方解除本合同且保留追究乙方违约责任的权利，给甲方造成损失的，乙方还应予以赔偿。</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6.乙方应保证其提交的服务成果不存在侵犯他人权益的情形，否则，因此引发的责任及纠纷由乙方承担，对甲方造成损失的，乙方应予以赔偿，此外，乙方还应向甲方承担合同总价款20%的惩罚性违约金。</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7.乙方应对其服务及服务成果的合法性、科学性、有效性、客观性、真实性负责，否则，相关责任及纠纷由乙方承担，对甲方造成损失的，乙方应予赔偿，此外，乙方还应向甲方承担合同总价款10%的违约金。</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十四、合同争议的解决</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在执行本合同中发生的或与本合同有关的争端，双方应通过友好协商解决，经协商无法解决的，应向甲方所在地有管理权限的人民法院提请诉讼。</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十五、不可抗力情况下的免责约定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1、在合同有效期内，任何一方因不可抗力事件导致不能履行合同，则合同履行期可延长，其延长期与不可抗力影响期相同。</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2、不可抗力事件发生后，应立即通知对方，并寄送有关权威机构出具的证明。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3、不可抗力事件延续60天以上，双方应通过友好协商，确定是否继续履行合同。</w:t>
      </w:r>
    </w:p>
    <w:p>
      <w:pPr>
        <w:keepNext w:val="0"/>
        <w:keepLines w:val="0"/>
        <w:pageBreakBefore w:val="0"/>
        <w:widowControl/>
        <w:kinsoku/>
        <w:wordWrap/>
        <w:overflowPunct/>
        <w:topLinePunct w:val="0"/>
        <w:autoSpaceDE w:val="0"/>
        <w:autoSpaceDN w:val="0"/>
        <w:bidi w:val="0"/>
        <w:adjustRightInd w:val="0"/>
        <w:snapToGrid w:val="0"/>
        <w:spacing w:line="480" w:lineRule="exact"/>
        <w:jc w:val="both"/>
        <w:textAlignment w:val="baseline"/>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十六、合同订立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2.本合同自双方的法定代表人或委托代理人签字并加盖公章之日起生效。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3.本合同一式 捌 份，其中，甲方执 肆 份，乙方执 肆 份，具有同等法律效力。</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采购人：   （盖章）                  供应商：   （盖章）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地 址：                              地  址：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法定代表人或其授权                   法定代表人或其授权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的代理人：（签字）                   的代理人：（签字）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r>
        <w:rPr>
          <w:rFonts w:hint="eastAsia" w:ascii="宋体" w:hAnsi="宋体" w:eastAsia="宋体" w:cs="宋体"/>
          <w:snapToGrid w:val="0"/>
          <w:color w:val="auto"/>
          <w:kern w:val="0"/>
          <w:sz w:val="28"/>
          <w:szCs w:val="28"/>
          <w:highlight w:val="none"/>
          <w:lang w:val="en-US" w:eastAsia="zh-CN" w:bidi="ar-SA"/>
        </w:rPr>
        <w:t xml:space="preserve">电话：                               电话：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snapToGrid w:val="0"/>
          <w:color w:val="auto"/>
          <w:kern w:val="0"/>
          <w:sz w:val="28"/>
          <w:szCs w:val="28"/>
          <w:highlight w:val="none"/>
          <w:lang w:val="en-US" w:eastAsia="zh-CN" w:bidi="ar-SA"/>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b/>
          <w:bCs/>
          <w:color w:val="auto"/>
          <w:sz w:val="36"/>
          <w:szCs w:val="36"/>
          <w:highlight w:val="none"/>
        </w:rPr>
      </w:pPr>
    </w:p>
    <w:p>
      <w:pPr>
        <w:keepNext w:val="0"/>
        <w:keepLines w:val="0"/>
        <w:pageBreakBefore w:val="0"/>
        <w:kinsoku/>
        <w:wordWrap/>
        <w:overflowPunct/>
        <w:topLinePunct w:val="0"/>
        <w:bidi w:val="0"/>
        <w:spacing w:line="500" w:lineRule="exact"/>
        <w:jc w:val="center"/>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廉政合同</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(以下简称“甲方”)和</w:t>
      </w:r>
      <w:r>
        <w:rPr>
          <w:rFonts w:hint="eastAsia" w:ascii="宋体" w:hAnsi="宋体" w:eastAsia="宋体" w:cs="宋体"/>
          <w:color w:val="auto"/>
          <w:sz w:val="28"/>
          <w:szCs w:val="28"/>
          <w:highlight w:val="none"/>
          <w:u w:val="single"/>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5" name="任意多边形 5"/>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b96d+tkAAAAJAQAADwAAAAAAAAABACAAAAAiAAAAZHJzL2Rv&#10;d25yZXYueG1sUEsBAhQAFAAAAAgAh07iQPf1bzpyAgAAZAUAAA4AAAAAAAAAAQAgAAAAKAEAAGRy&#10;cy9lMm9Eb2MueG1sUEsFBgAAAAAGAAYAWQEAAAwGA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eastAsia="宋体" w:cs="宋体"/>
          <w:color w:val="auto"/>
          <w:sz w:val="28"/>
          <w:szCs w:val="28"/>
          <w:highlight w:val="none"/>
        </w:rPr>
        <w:t>成交</w:t>
      </w:r>
      <w:r>
        <w:rPr>
          <w:rFonts w:hint="eastAsia" w:ascii="宋体" w:hAnsi="宋体" w:eastAsia="宋体" w:cs="宋体"/>
          <w:color w:val="auto"/>
          <w:sz w:val="28"/>
          <w:szCs w:val="28"/>
          <w:highlight w:val="none"/>
          <w:lang w:eastAsia="zh-CN"/>
        </w:rPr>
        <w:t>乙方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以下简称“乙方”)，特订立如下合同。</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第一条 双方的权利和义务</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(一)严格遵守党的政策规定和国家有关法律法规及交通运输部的有关规定。</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(二)严格执行</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合同文件，自觉按合同办事。</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(四)建立健全廉政制度，开展廉政教育，设立廉政告示牌，公布举报电话，监督并认真查处违法违纪行为。</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(五)发现对方在业务活动中有违反廉政规定的行为，有及时提醒对方纠正的权利和义务。</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(六)发现各方严重违反本合同义务条款的行为，有向其上级有关部门举报、建议给予处理并要求告知处理结果的权利。</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第二条甲方的义务</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(一)甲方及其工作人员不得索要或接受乙方的礼金、有价证券和贵重物品，不得在乙方报销任何应由甲方或甲方工作人员个人支付的费用等。</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(二)甲方工作人员不得参加乙方安排的超标准宴请和娱乐活动；不得接受乙方提供的通讯工具、交通工具和高档办公用品等。</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(三)甲方及其工作人员不得要求或者接受乙方为其住房装修、婚丧嫁娶活动、配偶子女及其亲属的工作安排以及出国出境、旅游等提供方便等。</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(四)不准向乙方和相关单位介绍或为配偶、子女、亲属参与同本方案设计合同有关的方案设计业务等活动。不得以任何理由要求乙方和相关单位在设计中使用某种产品、材料和设备。</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第三条乙方的义务</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(一)乙方不得以任何理由向甲方及其工作人员行贿或馈赠礼金、有价证券、贵重礼品。</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(二)乙方不得以任何名义为甲方及其工作人员报销应由甲方单位或个人支付的任何费用。</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(三)乙方不得以任何理由安排甲方工作人员参加超标准宴请及娱乐活动。</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(四)乙方不得为甲方单位和个人购置或提供通讯工具、交通工具和高档办公用品等。</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第四条违约责任</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(一)甲方及其工作人员违反本合同第一、二条，按管理权限，依据有关规定给予党纪、政纪或组织处理；涉嫌犯罪的，移交司法机关追究刑事责任；给乙方单位造成经济损失的，应予以赔偿。</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第五条双方约定：本合同由双方或双方上级单位的纪检监察部门负责监督执行。</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第六条本合同有效期为甲乙双方签署之日起至《协议书》（即本次政府采购主合同）失效日止。</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第七条本合同作为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合同的附件，与服务合同具有同等的法律效力，经合同双方签署后立即生效。</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第八条 本合同一式</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份，具有同等法律效力，双方各执</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份，双方法定代表人或其授权的代理人签字盖章后生效。</w:t>
      </w:r>
    </w:p>
    <w:p>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both"/>
        <w:textAlignment w:val="baseline"/>
        <w:rPr>
          <w:rFonts w:hint="eastAsia" w:ascii="宋体" w:hAnsi="宋体" w:eastAsia="宋体" w:cs="宋体"/>
          <w:color w:val="auto"/>
          <w:sz w:val="28"/>
          <w:szCs w:val="28"/>
          <w:highlight w:val="none"/>
        </w:rPr>
      </w:pPr>
    </w:p>
    <w:p>
      <w:pPr>
        <w:pStyle w:val="2"/>
        <w:rPr>
          <w:rFonts w:hint="eastAsia"/>
          <w:color w:val="auto"/>
          <w:highlight w:val="none"/>
        </w:rPr>
      </w:pPr>
    </w:p>
    <w:p>
      <w:pPr>
        <w:keepNext w:val="0"/>
        <w:keepLines w:val="0"/>
        <w:pageBreakBefore w:val="0"/>
        <w:widowControl/>
        <w:kinsoku/>
        <w:wordWrap/>
        <w:overflowPunct/>
        <w:topLinePunct w:val="0"/>
        <w:autoSpaceDE w:val="0"/>
        <w:autoSpaceDN w:val="0"/>
        <w:bidi w:val="0"/>
        <w:adjustRightInd w:val="0"/>
        <w:snapToGrid w:val="0"/>
        <w:spacing w:line="500" w:lineRule="exact"/>
        <w:jc w:val="both"/>
        <w:textAlignment w:val="baseline"/>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公章</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公章</w:t>
      </w:r>
      <w:r>
        <w:rPr>
          <w:rFonts w:hint="eastAsia" w:ascii="宋体" w:hAnsi="宋体" w:eastAsia="宋体" w:cs="宋体"/>
          <w:color w:val="auto"/>
          <w:sz w:val="28"/>
          <w:szCs w:val="28"/>
          <w:highlight w:val="none"/>
          <w:u w:val="none"/>
          <w:lang w:eastAsia="zh-CN"/>
        </w:rPr>
        <w:t>）</w:t>
      </w:r>
    </w:p>
    <w:p>
      <w:pPr>
        <w:keepNext w:val="0"/>
        <w:keepLines w:val="0"/>
        <w:pageBreakBefore w:val="0"/>
        <w:widowControl/>
        <w:kinsoku/>
        <w:wordWrap/>
        <w:overflowPunct/>
        <w:topLinePunct w:val="0"/>
        <w:autoSpaceDE w:val="0"/>
        <w:autoSpaceDN w:val="0"/>
        <w:bidi w:val="0"/>
        <w:adjustRightInd w:val="0"/>
        <w:snapToGrid w:val="0"/>
        <w:spacing w:line="500" w:lineRule="exact"/>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法定代表人</w:t>
      </w:r>
    </w:p>
    <w:p>
      <w:pPr>
        <w:keepNext w:val="0"/>
        <w:keepLines w:val="0"/>
        <w:pageBreakBefore w:val="0"/>
        <w:widowControl/>
        <w:kinsoku/>
        <w:wordWrap/>
        <w:overflowPunct/>
        <w:topLinePunct w:val="0"/>
        <w:autoSpaceDE w:val="0"/>
        <w:autoSpaceDN w:val="0"/>
        <w:bidi w:val="0"/>
        <w:adjustRightInd w:val="0"/>
        <w:snapToGrid w:val="0"/>
        <w:spacing w:line="500" w:lineRule="exact"/>
        <w:jc w:val="both"/>
        <w:textAlignment w:val="baseline"/>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或委托代理人：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或其委托代理人：</w:t>
      </w:r>
      <w:r>
        <w:rPr>
          <w:rFonts w:hint="eastAsia" w:ascii="宋体" w:hAnsi="宋体" w:eastAsia="宋体" w:cs="宋体"/>
          <w:color w:val="auto"/>
          <w:sz w:val="28"/>
          <w:szCs w:val="28"/>
          <w:highlight w:val="none"/>
          <w:u w:val="single"/>
          <w:lang w:val="en-US" w:eastAsia="zh-CN"/>
        </w:rPr>
        <w:t xml:space="preserve">               </w:t>
      </w:r>
    </w:p>
    <w:p>
      <w:pPr>
        <w:keepNext w:val="0"/>
        <w:keepLines w:val="0"/>
        <w:pageBreakBefore w:val="0"/>
        <w:widowControl/>
        <w:kinsoku/>
        <w:wordWrap/>
        <w:overflowPunct/>
        <w:topLinePunct w:val="0"/>
        <w:autoSpaceDE w:val="0"/>
        <w:autoSpaceDN w:val="0"/>
        <w:bidi w:val="0"/>
        <w:adjustRightInd w:val="0"/>
        <w:snapToGrid w:val="0"/>
        <w:spacing w:line="500" w:lineRule="exact"/>
        <w:ind w:firstLine="1400" w:firstLineChars="500"/>
        <w:jc w:val="both"/>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年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月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日</w:t>
      </w:r>
      <w:r>
        <w:rPr>
          <w:rFonts w:hint="eastAsia" w:ascii="宋体" w:hAnsi="宋体" w:eastAsia="宋体" w:cs="宋体"/>
          <w:color w:val="auto"/>
          <w:sz w:val="28"/>
          <w:szCs w:val="28"/>
          <w:highlight w:val="none"/>
          <w:lang w:val="en-US" w:eastAsia="zh-CN"/>
        </w:rPr>
        <w:t xml:space="preserve">             </w:t>
      </w:r>
      <w:bookmarkStart w:id="0" w:name="_GoBack"/>
      <w:bookmarkEnd w:id="0"/>
      <w:r>
        <w:rPr>
          <w:rFonts w:hint="eastAsia" w:ascii="宋体" w:hAnsi="宋体" w:eastAsia="宋体" w:cs="宋体"/>
          <w:color w:val="auto"/>
          <w:sz w:val="28"/>
          <w:szCs w:val="28"/>
          <w:highlight w:val="none"/>
        </w:rPr>
        <w:t xml:space="preserve">年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C027B8E"/>
    <w:rsid w:val="1FA972C6"/>
    <w:rsid w:val="273D6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style>
  <w:style w:type="paragraph" w:styleId="3">
    <w:name w:val="Body Text"/>
    <w:basedOn w:val="1"/>
    <w:next w:val="1"/>
    <w:qFormat/>
    <w:uiPriority w:val="0"/>
    <w:pPr>
      <w:spacing w:after="120"/>
    </w:pPr>
  </w:style>
  <w:style w:type="paragraph" w:styleId="4">
    <w:name w:val="Body Text First Indent 2"/>
    <w:basedOn w:val="5"/>
    <w:next w:val="1"/>
    <w:qFormat/>
    <w:uiPriority w:val="0"/>
    <w:pPr>
      <w:tabs>
        <w:tab w:val="left" w:pos="8640"/>
      </w:tabs>
      <w:ind w:firstLine="200" w:firstLineChars="200"/>
    </w:p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toc 1"/>
    <w:basedOn w:val="1"/>
    <w:next w:val="1"/>
    <w:unhideWhenUsed/>
    <w:qFormat/>
    <w:uiPriority w:val="39"/>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2025-05-21T02:08:00Z</dcterms:created>
  <dc:creator>Administrator</dc:creator>
  <cp:lastModifiedBy>Two   *〖man〗</cp:lastModifiedBy>
  <dcterms:modified xsi:type="dcterms:W3CDTF">2025-05-21T02:47:14Z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BC8C511DA8704F4A9CC736F90751C616_12</vt:lpwstr>
  </property>
</Properties>
</file>