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版本号：SXHT-(CS)2025030820250515001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陕西一号旅游公路标志标线标识和服务设施提升行动方案编制</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SXHT-(CS)20250308</w:t>
      </w:r>
      <w:r>
        <w:br/>
      </w:r>
      <w:r>
        <w:br/>
      </w:r>
      <w:r>
        <w:br/>
      </w:r>
    </w:p>
    <w:p>
      <w:pPr>
        <w:pStyle w:val="null3"/>
        <w:jc w:val="center"/>
        <w:outlineLvl w:val="2"/>
      </w:pPr>
      <w:r>
        <w:rPr>
          <w:rFonts w:ascii="仿宋_GB2312" w:hAnsi="仿宋_GB2312" w:cs="仿宋_GB2312" w:eastAsia="仿宋_GB2312"/>
          <w:sz w:val="28"/>
          <w:b/>
        </w:rPr>
        <w:t>陕西省公路局</w:t>
      </w:r>
    </w:p>
    <w:p>
      <w:pPr>
        <w:pStyle w:val="null3"/>
        <w:jc w:val="center"/>
        <w:outlineLvl w:val="2"/>
      </w:pPr>
      <w:r>
        <w:rPr>
          <w:rFonts w:ascii="仿宋_GB2312" w:hAnsi="仿宋_GB2312" w:cs="仿宋_GB2312" w:eastAsia="仿宋_GB2312"/>
          <w:sz w:val="28"/>
          <w:b/>
        </w:rPr>
        <w:t>陕西海堂项目管理咨询有限公司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2025年05月15日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陕西海堂项目管理咨询有限公司</w:t>
      </w:r>
      <w:r>
        <w:rPr>
          <w:rFonts w:ascii="仿宋_GB2312" w:hAnsi="仿宋_GB2312" w:cs="仿宋_GB2312" w:eastAsia="仿宋_GB2312"/>
        </w:rPr>
        <w:t>（以下简称“代理机构”）受</w:t>
      </w:r>
      <w:r>
        <w:rPr>
          <w:rFonts w:ascii="仿宋_GB2312" w:hAnsi="仿宋_GB2312" w:cs="仿宋_GB2312" w:eastAsia="仿宋_GB2312"/>
        </w:rPr>
        <w:t>陕西省公路局</w:t>
      </w:r>
      <w:r>
        <w:rPr>
          <w:rFonts w:ascii="仿宋_GB2312" w:hAnsi="仿宋_GB2312" w:cs="仿宋_GB2312" w:eastAsia="仿宋_GB2312"/>
        </w:rPr>
        <w:t>委托，拟对</w:t>
      </w:r>
      <w:r>
        <w:rPr>
          <w:rFonts w:ascii="仿宋_GB2312" w:hAnsi="仿宋_GB2312" w:cs="仿宋_GB2312" w:eastAsia="仿宋_GB2312"/>
        </w:rPr>
        <w:t>陕西一号旅游公路标志标线标识和服务设施提升行动方案编制</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SXHT-(CS)20250308</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陕西一号旅游公路标志标线标识和服务设施提升行动方案编制</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完成陕西一号旅游公路标志标线标识及服务设施提升行动方案编制，将G628打造成陕西境内一号旅游公路，使其成为陕西交通行业可借鉴、可复制、可推广、可示范的优秀旅游公路案例，指导省内旅游公路建设。使项目道路交通便利性提升，公路连接沿线3A及以上景区景点，形成完善的交通网络，方便游客规划行程。安全性能增强，道路交通标志、标牌、标识清晰，使司乘人员能清楚了解路况及行驶要求。沿线服务设施功能齐全，提供充足的停车位，旅游、天气等信息咨询服务。力争实现“城景通、景景通”，旅游公路服务功能更加完善，便利化水平明显提升，为交旅融合高质量发展提供有力的公路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2、授权委托书：法定代表人(负责人)参与投标时，提供法定代表人(负责人)身份证明及本人身份证复印件加盖公章；授权代表参与投标时，提供企业法人授权委托书及被授权人身份证复印件加盖公章；</w:t>
      </w:r>
    </w:p>
    <w:p>
      <w:pPr>
        <w:pStyle w:val="null3"/>
      </w:pPr>
      <w:r>
        <w:rPr>
          <w:rFonts w:ascii="仿宋_GB2312" w:hAnsi="仿宋_GB2312" w:cs="仿宋_GB2312" w:eastAsia="仿宋_GB2312"/>
        </w:rPr>
        <w:t>3、财务状况报告：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p>
      <w:pPr>
        <w:pStyle w:val="null3"/>
      </w:pPr>
      <w:r>
        <w:rPr>
          <w:rFonts w:ascii="仿宋_GB2312" w:hAnsi="仿宋_GB2312" w:cs="仿宋_GB2312" w:eastAsia="仿宋_GB2312"/>
        </w:rPr>
        <w:t>4、社会保障资金缴纳证明：提供2024年10月至今已缴存的一个月的社会保障资金缴存单据或社保机构开具的社会保险参保缴费情况证明，依法不需要缴纳社会保障资金的投标单位应提供相关文件证明；</w:t>
      </w:r>
    </w:p>
    <w:p>
      <w:pPr>
        <w:pStyle w:val="null3"/>
      </w:pPr>
      <w:r>
        <w:rPr>
          <w:rFonts w:ascii="仿宋_GB2312" w:hAnsi="仿宋_GB2312" w:cs="仿宋_GB2312" w:eastAsia="仿宋_GB2312"/>
        </w:rPr>
        <w:t>5、税收缴纳证明：提供2024年10月至今已缴纳的至少一个月的纳税证明或完税证明，依法免税的单位应提供相关证明材料；</w:t>
      </w:r>
    </w:p>
    <w:p>
      <w:pPr>
        <w:pStyle w:val="null3"/>
      </w:pPr>
      <w:r>
        <w:rPr>
          <w:rFonts w:ascii="仿宋_GB2312" w:hAnsi="仿宋_GB2312" w:cs="仿宋_GB2312" w:eastAsia="仿宋_GB2312"/>
        </w:rPr>
        <w:t>6、企业资质：供应商应具有工程设计公路行业（公路、交通工程）专业甲级资质；</w:t>
      </w:r>
    </w:p>
    <w:p>
      <w:pPr>
        <w:pStyle w:val="null3"/>
      </w:pPr>
      <w:r>
        <w:rPr>
          <w:rFonts w:ascii="仿宋_GB2312" w:hAnsi="仿宋_GB2312" w:cs="仿宋_GB2312" w:eastAsia="仿宋_GB2312"/>
        </w:rPr>
        <w:t>7、无重大违法记录声明：参加政府采购活动前3年内经营活动中没有重大违法记录声明；</w:t>
      </w:r>
    </w:p>
    <w:p>
      <w:pPr>
        <w:pStyle w:val="null3"/>
      </w:pPr>
      <w:r>
        <w:rPr>
          <w:rFonts w:ascii="仿宋_GB2312" w:hAnsi="仿宋_GB2312" w:cs="仿宋_GB2312" w:eastAsia="仿宋_GB2312"/>
        </w:rPr>
        <w:t>8、信用中国：通过“信用中国”网站（www.creditchina.gov.cn/ ）和“中国政府采购网”（http://www.ccgp.gov.cn/）查询投标主体未被列入失信被执行人、重大税收失信主体、政府采购严重违法失信行为记录名单；</w:t>
      </w:r>
    </w:p>
    <w:p>
      <w:pPr>
        <w:pStyle w:val="null3"/>
      </w:pPr>
      <w:r>
        <w:rPr>
          <w:rFonts w:ascii="仿宋_GB2312" w:hAnsi="仿宋_GB2312" w:cs="仿宋_GB2312" w:eastAsia="仿宋_GB2312"/>
        </w:rPr>
        <w:t>9、承诺函：提供具有履行服务合同所必需的产品和专业技术能力的承诺；</w:t>
      </w:r>
    </w:p>
    <w:p>
      <w:pPr>
        <w:pStyle w:val="null3"/>
      </w:pPr>
      <w:r>
        <w:rPr>
          <w:rFonts w:ascii="仿宋_GB2312" w:hAnsi="仿宋_GB2312" w:cs="仿宋_GB2312" w:eastAsia="仿宋_GB2312"/>
        </w:rPr>
        <w:t>10、控股、管理关系：单位负责人为同一人或者存在控股、管理关系的不同供应商，不得同时参加本项目采购活动；</w:t>
      </w:r>
    </w:p>
    <w:p>
      <w:pPr>
        <w:pStyle w:val="null3"/>
      </w:pPr>
      <w:r>
        <w:rPr>
          <w:rFonts w:ascii="仿宋_GB2312" w:hAnsi="仿宋_GB2312" w:cs="仿宋_GB2312" w:eastAsia="仿宋_GB2312"/>
        </w:rPr>
        <w:t>11、非联合体磋商声明：本项目不接受联合体磋商，供应商须提供《非联合体磋商声明》，视为独立参与磋商活动；</w:t>
      </w:r>
    </w:p>
    <w:p>
      <w:pPr>
        <w:pStyle w:val="null3"/>
      </w:pPr>
      <w:r>
        <w:rPr>
          <w:rFonts w:ascii="仿宋_GB2312" w:hAnsi="仿宋_GB2312" w:cs="仿宋_GB2312" w:eastAsia="仿宋_GB2312"/>
        </w:rPr>
        <w:t>12、不分包磋商声明：本项目不允许分包，供应商须提供《不分包磋商声明》，视为独立参与磋商活动。</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陕西省公路局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西安市含光北路110号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029-88408412</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陕西海堂项目管理咨询有限公司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西安市建西街123号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开户名称：陕西海堂项目管理咨询有限公司</w:t>
            </w:r>
          </w:p>
          <w:p>
            <w:pPr>
              <w:pStyle w:val="null3"/>
            </w:pPr>
            <w:r>
              <w:rPr>
                <w:rFonts w:ascii="仿宋_GB2312" w:hAnsi="仿宋_GB2312" w:cs="仿宋_GB2312" w:eastAsia="仿宋_GB2312"/>
              </w:rPr>
              <w:t>开户银行：中国建设银行股份有限公司西安文艺北路支行</w:t>
            </w:r>
          </w:p>
          <w:p>
            <w:pPr>
              <w:pStyle w:val="null3"/>
            </w:pPr>
            <w:r>
              <w:rPr>
                <w:rFonts w:ascii="仿宋_GB2312" w:hAnsi="仿宋_GB2312" w:cs="仿宋_GB2312" w:eastAsia="仿宋_GB2312"/>
              </w:rPr>
              <w:t>银行账号：61050172400000000275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说明：本采购包履约保证金为合同金额的5% 说明：合同签订前，乙方须向甲方缴纳合同总金额5%的履约保证金，履约保证金待乙方履行完毕全部合同义务，并经甲方履约验收合格，无任何纠纷后无息退还。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成交服务费按约定由成交供应商支付。2、成交供应商应依据成交金额向采购代理机构交纳成交服务费，交费金额参照《招标代理服务收费管理暂行办法》（计价格（2002）1980号）附件规定的收费标准收取，费率下浮30%收取。3、本项目代理服务费按服务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陕西省公路局</w:t>
      </w:r>
      <w:r>
        <w:rPr>
          <w:rFonts w:ascii="仿宋_GB2312" w:hAnsi="仿宋_GB2312" w:cs="仿宋_GB2312" w:eastAsia="仿宋_GB2312"/>
        </w:rPr>
        <w:t>和</w:t>
      </w:r>
      <w:r>
        <w:rPr>
          <w:rFonts w:ascii="仿宋_GB2312" w:hAnsi="仿宋_GB2312" w:cs="仿宋_GB2312" w:eastAsia="仿宋_GB2312"/>
        </w:rPr>
        <w:t>陕西海堂项目管理咨询有限公司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陕西省公路局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陕西海堂项目管理咨询有限公司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陕西省公路局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陕西海堂项目管理咨询有限公司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完成合同约定的全部内容，提交的陕西一号旅游公路标志标线标识和服务设施提升行动方案满足相关技术标准、规范、规程、安全标准等，提交合同履约情况总结报告，并经采购人确认。</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陕西海堂项目管理咨询有限公司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联系人：田工、王工</w:t>
      </w:r>
    </w:p>
    <w:p>
      <w:pPr>
        <w:pStyle w:val="null3"/>
      </w:pPr>
      <w:r>
        <w:rPr>
          <w:rFonts w:ascii="仿宋_GB2312" w:hAnsi="仿宋_GB2312" w:cs="仿宋_GB2312" w:eastAsia="仿宋_GB2312"/>
        </w:rPr>
        <w:t>联系电话：029-85266606</w:t>
      </w:r>
    </w:p>
    <w:p>
      <w:pPr>
        <w:pStyle w:val="null3"/>
      </w:pPr>
      <w:r>
        <w:rPr>
          <w:rFonts w:ascii="仿宋_GB2312" w:hAnsi="仿宋_GB2312" w:cs="仿宋_GB2312" w:eastAsia="仿宋_GB2312"/>
        </w:rPr>
        <w:t>地址：西安市碑林区建西街 123 号</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通过对全国范围内优秀旅游公路调研，总结成功建设经验，从四个方面进行陕西一号旅游公路标志标线标识和服务设施改造提升：一是打造旅游公路特色徽标；二是标志、标线系统提升改造；三是对沿线服务设施进行微提升；四是试点零碳服务区的提升改造。最终确定项目总体投资规模，完成陕西一号旅游公路标志标线标识及服务设施提升行动方案编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950,000.00</w:t>
      </w:r>
    </w:p>
    <w:p>
      <w:pPr>
        <w:pStyle w:val="null3"/>
      </w:pPr>
      <w:r>
        <w:rPr>
          <w:rFonts w:ascii="仿宋_GB2312" w:hAnsi="仿宋_GB2312" w:cs="仿宋_GB2312" w:eastAsia="仿宋_GB2312"/>
        </w:rPr>
        <w:t>采购包最高限价（元）: 950,000.00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陕西一号旅游公路标志标线标识和服务设施提升行动方案编制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950,000.00</w:t>
            </w:r>
          </w:p>
        </w:tc>
        <w:tc>
          <w:tcPr>
            <w:tcW w:type="dxa" w:w="831"/>
          </w:tcPr>
          <w:p>
            <w:pPr>
              <w:pStyle w:val="null3"/>
            </w:pPr>
            <w:r>
              <w:rPr>
                <w:rFonts w:ascii="仿宋_GB2312" w:hAnsi="仿宋_GB2312" w:cs="仿宋_GB2312" w:eastAsia="仿宋_GB2312"/>
              </w:rPr>
              <w:t>标段</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标的名称：陕西一号旅游公路标志标线标识和服务设施提升行动方案编制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一、编制依据</w:t>
            </w:r>
          </w:p>
          <w:p>
            <w:pPr>
              <w:pStyle w:val="null3"/>
              <w:jc w:val="both"/>
            </w:pPr>
            <w:r>
              <w:rPr>
                <w:rFonts w:ascii="仿宋_GB2312" w:hAnsi="仿宋_GB2312" w:cs="仿宋_GB2312" w:eastAsia="仿宋_GB2312"/>
                <w:sz w:val="24"/>
              </w:rPr>
              <w:t>1、标志标线相关标准</w:t>
            </w:r>
          </w:p>
          <w:p>
            <w:pPr>
              <w:pStyle w:val="null3"/>
              <w:jc w:val="both"/>
            </w:pPr>
            <w:r>
              <w:rPr>
                <w:rFonts w:ascii="仿宋_GB2312" w:hAnsi="仿宋_GB2312" w:cs="仿宋_GB2312" w:eastAsia="仿宋_GB2312"/>
                <w:sz w:val="24"/>
              </w:rPr>
              <w:t>《公路交通安全设施施工技术规范》》（</w:t>
            </w:r>
            <w:r>
              <w:rPr>
                <w:rFonts w:ascii="仿宋_GB2312" w:hAnsi="仿宋_GB2312" w:cs="仿宋_GB2312" w:eastAsia="仿宋_GB2312"/>
                <w:sz w:val="24"/>
              </w:rPr>
              <w:t>JTG/T 3671-2021）</w:t>
            </w:r>
          </w:p>
          <w:p>
            <w:pPr>
              <w:pStyle w:val="null3"/>
              <w:jc w:val="both"/>
            </w:pPr>
            <w:r>
              <w:rPr>
                <w:rFonts w:ascii="仿宋_GB2312" w:hAnsi="仿宋_GB2312" w:cs="仿宋_GB2312" w:eastAsia="仿宋_GB2312"/>
                <w:sz w:val="24"/>
              </w:rPr>
              <w:t>《道路交通标志和标线</w:t>
            </w:r>
            <w:r>
              <w:rPr>
                <w:rFonts w:ascii="仿宋_GB2312" w:hAnsi="仿宋_GB2312" w:cs="仿宋_GB2312" w:eastAsia="仿宋_GB2312"/>
                <w:sz w:val="24"/>
              </w:rPr>
              <w:t>GB5768.2》（（道路交通标志）—2022）</w:t>
            </w:r>
          </w:p>
          <w:p>
            <w:pPr>
              <w:pStyle w:val="null3"/>
              <w:jc w:val="both"/>
            </w:pPr>
            <w:r>
              <w:rPr>
                <w:rFonts w:ascii="仿宋_GB2312" w:hAnsi="仿宋_GB2312" w:cs="仿宋_GB2312" w:eastAsia="仿宋_GB2312"/>
                <w:sz w:val="24"/>
              </w:rPr>
              <w:t>《道路交通标志和标线</w:t>
            </w:r>
            <w:r>
              <w:rPr>
                <w:rFonts w:ascii="仿宋_GB2312" w:hAnsi="仿宋_GB2312" w:cs="仿宋_GB2312" w:eastAsia="仿宋_GB2312"/>
                <w:sz w:val="24"/>
              </w:rPr>
              <w:t>GB5768.3》（（道路交通标线）—2009）</w:t>
            </w:r>
          </w:p>
          <w:p>
            <w:pPr>
              <w:pStyle w:val="null3"/>
              <w:jc w:val="both"/>
            </w:pPr>
            <w:r>
              <w:rPr>
                <w:rFonts w:ascii="仿宋_GB2312" w:hAnsi="仿宋_GB2312" w:cs="仿宋_GB2312" w:eastAsia="仿宋_GB2312"/>
                <w:sz w:val="24"/>
              </w:rPr>
              <w:t>《公路交通工程钢构件防腐蚀技术条件》（</w:t>
            </w:r>
            <w:r>
              <w:rPr>
                <w:rFonts w:ascii="仿宋_GB2312" w:hAnsi="仿宋_GB2312" w:cs="仿宋_GB2312" w:eastAsia="仿宋_GB2312"/>
                <w:sz w:val="24"/>
              </w:rPr>
              <w:t>GB/T 18226-2015）</w:t>
            </w:r>
          </w:p>
          <w:p>
            <w:pPr>
              <w:pStyle w:val="null3"/>
              <w:jc w:val="both"/>
            </w:pPr>
            <w:r>
              <w:rPr>
                <w:rFonts w:ascii="仿宋_GB2312" w:hAnsi="仿宋_GB2312" w:cs="仿宋_GB2312" w:eastAsia="仿宋_GB2312"/>
                <w:sz w:val="24"/>
              </w:rPr>
              <w:t>《道路交通反光膜》（</w:t>
            </w:r>
            <w:r>
              <w:rPr>
                <w:rFonts w:ascii="仿宋_GB2312" w:hAnsi="仿宋_GB2312" w:cs="仿宋_GB2312" w:eastAsia="仿宋_GB2312"/>
                <w:sz w:val="24"/>
              </w:rPr>
              <w:t>GB/T 18833—2012）</w:t>
            </w:r>
          </w:p>
          <w:p>
            <w:pPr>
              <w:pStyle w:val="null3"/>
              <w:jc w:val="both"/>
            </w:pPr>
            <w:r>
              <w:rPr>
                <w:rFonts w:ascii="仿宋_GB2312" w:hAnsi="仿宋_GB2312" w:cs="仿宋_GB2312" w:eastAsia="仿宋_GB2312"/>
                <w:sz w:val="24"/>
              </w:rPr>
              <w:t>《国家公路网交通标志调整工作技术指南》（</w:t>
            </w:r>
            <w:r>
              <w:rPr>
                <w:rFonts w:ascii="仿宋_GB2312" w:hAnsi="仿宋_GB2312" w:cs="仿宋_GB2312" w:eastAsia="仿宋_GB2312"/>
                <w:sz w:val="24"/>
              </w:rPr>
              <w:t>2017）</w:t>
            </w:r>
          </w:p>
          <w:p>
            <w:pPr>
              <w:pStyle w:val="null3"/>
              <w:jc w:val="both"/>
            </w:pPr>
            <w:r>
              <w:rPr>
                <w:rFonts w:ascii="仿宋_GB2312" w:hAnsi="仿宋_GB2312" w:cs="仿宋_GB2312" w:eastAsia="仿宋_GB2312"/>
                <w:sz w:val="24"/>
              </w:rPr>
              <w:t>《公路限速标志设计规范》</w:t>
            </w:r>
            <w:r>
              <w:rPr>
                <w:rFonts w:ascii="仿宋_GB2312" w:hAnsi="仿宋_GB2312" w:cs="仿宋_GB2312" w:eastAsia="仿宋_GB2312"/>
                <w:sz w:val="24"/>
              </w:rPr>
              <w:t>（</w:t>
            </w:r>
            <w:r>
              <w:rPr>
                <w:rFonts w:ascii="仿宋_GB2312" w:hAnsi="仿宋_GB2312" w:cs="仿宋_GB2312" w:eastAsia="仿宋_GB2312"/>
                <w:sz w:val="24"/>
              </w:rPr>
              <w:t>JTG/T 3381-02—2020）；</w:t>
            </w:r>
          </w:p>
          <w:p>
            <w:pPr>
              <w:pStyle w:val="null3"/>
              <w:jc w:val="both"/>
            </w:pPr>
            <w:r>
              <w:rPr>
                <w:rFonts w:ascii="仿宋_GB2312" w:hAnsi="仿宋_GB2312" w:cs="仿宋_GB2312" w:eastAsia="仿宋_GB2312"/>
                <w:sz w:val="24"/>
              </w:rPr>
              <w:t>《路面标线涂料》（</w:t>
            </w:r>
            <w:r>
              <w:rPr>
                <w:rFonts w:ascii="仿宋_GB2312" w:hAnsi="仿宋_GB2312" w:cs="仿宋_GB2312" w:eastAsia="仿宋_GB2312"/>
                <w:sz w:val="24"/>
              </w:rPr>
              <w:t>JT∕T280-2022）</w:t>
            </w:r>
          </w:p>
          <w:p>
            <w:pPr>
              <w:pStyle w:val="null3"/>
              <w:jc w:val="both"/>
            </w:pPr>
            <w:r>
              <w:rPr>
                <w:rFonts w:ascii="仿宋_GB2312" w:hAnsi="仿宋_GB2312" w:cs="仿宋_GB2312" w:eastAsia="仿宋_GB2312"/>
                <w:sz w:val="24"/>
              </w:rPr>
              <w:t>《道路交通标志板及支撑件》（</w:t>
            </w:r>
            <w:r>
              <w:rPr>
                <w:rFonts w:ascii="仿宋_GB2312" w:hAnsi="仿宋_GB2312" w:cs="仿宋_GB2312" w:eastAsia="仿宋_GB2312"/>
                <w:sz w:val="24"/>
              </w:rPr>
              <w:t>GB/T 23827-2021）</w:t>
            </w:r>
          </w:p>
          <w:p>
            <w:pPr>
              <w:pStyle w:val="null3"/>
              <w:jc w:val="both"/>
            </w:pPr>
            <w:r>
              <w:rPr>
                <w:rFonts w:ascii="仿宋_GB2312" w:hAnsi="仿宋_GB2312" w:cs="仿宋_GB2312" w:eastAsia="仿宋_GB2312"/>
                <w:sz w:val="24"/>
              </w:rPr>
              <w:t>《路面标线用玻璃珠》（</w:t>
            </w:r>
            <w:r>
              <w:rPr>
                <w:rFonts w:ascii="仿宋_GB2312" w:hAnsi="仿宋_GB2312" w:cs="仿宋_GB2312" w:eastAsia="仿宋_GB2312"/>
                <w:sz w:val="24"/>
              </w:rPr>
              <w:t>GB/T 24722-2020）</w:t>
            </w:r>
          </w:p>
          <w:p>
            <w:pPr>
              <w:pStyle w:val="null3"/>
              <w:jc w:val="both"/>
            </w:pPr>
            <w:r>
              <w:rPr>
                <w:rFonts w:ascii="仿宋_GB2312" w:hAnsi="仿宋_GB2312" w:cs="仿宋_GB2312" w:eastAsia="仿宋_GB2312"/>
                <w:sz w:val="24"/>
              </w:rPr>
              <w:t>2、服务设施与景观标准</w:t>
            </w:r>
          </w:p>
          <w:p>
            <w:pPr>
              <w:pStyle w:val="null3"/>
              <w:jc w:val="both"/>
            </w:pPr>
            <w:r>
              <w:rPr>
                <w:rFonts w:ascii="仿宋_GB2312" w:hAnsi="仿宋_GB2312" w:cs="仿宋_GB2312" w:eastAsia="仿宋_GB2312"/>
                <w:sz w:val="24"/>
              </w:rPr>
              <w:t>《公园设计规范》</w:t>
            </w:r>
            <w:r>
              <w:rPr>
                <w:rFonts w:ascii="仿宋_GB2312" w:hAnsi="仿宋_GB2312" w:cs="仿宋_GB2312" w:eastAsia="仿宋_GB2312"/>
                <w:sz w:val="24"/>
              </w:rPr>
              <w:t>GB 51192-2016</w:t>
            </w:r>
            <w:r>
              <w:br/>
            </w:r>
            <w:r>
              <w:rPr>
                <w:rFonts w:ascii="仿宋_GB2312" w:hAnsi="仿宋_GB2312" w:cs="仿宋_GB2312" w:eastAsia="仿宋_GB2312"/>
                <w:sz w:val="24"/>
              </w:rPr>
              <w:t>《城市道路绿化规划与设计规范》</w:t>
            </w:r>
            <w:r>
              <w:rPr>
                <w:rFonts w:ascii="仿宋_GB2312" w:hAnsi="仿宋_GB2312" w:cs="仿宋_GB2312" w:eastAsia="仿宋_GB2312"/>
                <w:sz w:val="24"/>
              </w:rPr>
              <w:t>CJJ 75-97</w:t>
            </w:r>
            <w:r>
              <w:br/>
            </w:r>
            <w:r>
              <w:rPr>
                <w:rFonts w:ascii="仿宋_GB2312" w:hAnsi="仿宋_GB2312" w:cs="仿宋_GB2312" w:eastAsia="仿宋_GB2312"/>
                <w:sz w:val="24"/>
              </w:rPr>
              <w:t>《城市绿地设计规范》</w:t>
            </w:r>
            <w:r>
              <w:rPr>
                <w:rFonts w:ascii="仿宋_GB2312" w:hAnsi="仿宋_GB2312" w:cs="仿宋_GB2312" w:eastAsia="仿宋_GB2312"/>
                <w:sz w:val="24"/>
              </w:rPr>
              <w:t>GB50420－2007</w:t>
            </w:r>
            <w:r>
              <w:br/>
            </w:r>
            <w:r>
              <w:rPr>
                <w:rFonts w:ascii="仿宋_GB2312" w:hAnsi="仿宋_GB2312" w:cs="仿宋_GB2312" w:eastAsia="仿宋_GB2312"/>
                <w:sz w:val="24"/>
              </w:rPr>
              <w:t>《城市绿地分类标准》</w:t>
            </w:r>
            <w:r>
              <w:rPr>
                <w:rFonts w:ascii="仿宋_GB2312" w:hAnsi="仿宋_GB2312" w:cs="仿宋_GB2312" w:eastAsia="仿宋_GB2312"/>
                <w:sz w:val="24"/>
              </w:rPr>
              <w:t>CJJT85-2017</w:t>
            </w:r>
            <w:r>
              <w:br/>
            </w:r>
            <w:r>
              <w:rPr>
                <w:rFonts w:ascii="仿宋_GB2312" w:hAnsi="仿宋_GB2312" w:cs="仿宋_GB2312" w:eastAsia="仿宋_GB2312"/>
                <w:sz w:val="24"/>
              </w:rPr>
              <w:t>《居住区环境景观设计导则》</w:t>
            </w:r>
            <w:r>
              <w:rPr>
                <w:rFonts w:ascii="仿宋_GB2312" w:hAnsi="仿宋_GB2312" w:cs="仿宋_GB2312" w:eastAsia="仿宋_GB2312"/>
                <w:sz w:val="24"/>
              </w:rPr>
              <w:t>2016版</w:t>
            </w:r>
            <w:r>
              <w:br/>
            </w:r>
            <w:r>
              <w:rPr>
                <w:rFonts w:ascii="仿宋_GB2312" w:hAnsi="仿宋_GB2312" w:cs="仿宋_GB2312" w:eastAsia="仿宋_GB2312"/>
                <w:sz w:val="24"/>
              </w:rPr>
              <w:t>《城市道路工程设计规范》</w:t>
            </w:r>
            <w:r>
              <w:rPr>
                <w:rFonts w:ascii="仿宋_GB2312" w:hAnsi="仿宋_GB2312" w:cs="仿宋_GB2312" w:eastAsia="仿宋_GB2312"/>
                <w:sz w:val="24"/>
              </w:rPr>
              <w:t>CJJ37-2012</w:t>
            </w:r>
          </w:p>
          <w:p>
            <w:pPr>
              <w:pStyle w:val="null3"/>
              <w:jc w:val="both"/>
            </w:pPr>
            <w:r>
              <w:rPr>
                <w:rFonts w:ascii="仿宋_GB2312" w:hAnsi="仿宋_GB2312" w:cs="仿宋_GB2312" w:eastAsia="仿宋_GB2312"/>
                <w:sz w:val="24"/>
              </w:rPr>
              <w:t>《园林绿化工程项目规范》</w:t>
            </w:r>
            <w:r>
              <w:rPr>
                <w:rFonts w:ascii="仿宋_GB2312" w:hAnsi="仿宋_GB2312" w:cs="仿宋_GB2312" w:eastAsia="仿宋_GB2312"/>
                <w:sz w:val="24"/>
              </w:rPr>
              <w:t>GB55014-2021</w:t>
            </w:r>
            <w:r>
              <w:br/>
            </w:r>
            <w:r>
              <w:rPr>
                <w:rFonts w:ascii="仿宋_GB2312" w:hAnsi="仿宋_GB2312" w:cs="仿宋_GB2312" w:eastAsia="仿宋_GB2312"/>
                <w:sz w:val="24"/>
              </w:rPr>
              <w:t>《园林绿化工程施工及验收规范》</w:t>
            </w:r>
            <w:r>
              <w:rPr>
                <w:rFonts w:ascii="仿宋_GB2312" w:hAnsi="仿宋_GB2312" w:cs="仿宋_GB2312" w:eastAsia="仿宋_GB2312"/>
                <w:sz w:val="24"/>
              </w:rPr>
              <w:t>CJJ82-2012</w:t>
            </w:r>
            <w:r>
              <w:br/>
            </w:r>
            <w:r>
              <w:rPr>
                <w:rFonts w:ascii="仿宋_GB2312" w:hAnsi="仿宋_GB2312" w:cs="仿宋_GB2312" w:eastAsia="仿宋_GB2312"/>
                <w:sz w:val="24"/>
              </w:rPr>
              <w:t>《城市绿化和园林绿地用植物材料木本苗》</w:t>
            </w:r>
            <w:r>
              <w:rPr>
                <w:rFonts w:ascii="仿宋_GB2312" w:hAnsi="仿宋_GB2312" w:cs="仿宋_GB2312" w:eastAsia="仿宋_GB2312"/>
                <w:sz w:val="24"/>
              </w:rPr>
              <w:t>CJ/T 24—2018</w:t>
            </w:r>
            <w:r>
              <w:br/>
            </w:r>
            <w:r>
              <w:rPr>
                <w:rFonts w:ascii="仿宋_GB2312" w:hAnsi="仿宋_GB2312" w:cs="仿宋_GB2312" w:eastAsia="仿宋_GB2312"/>
                <w:sz w:val="24"/>
              </w:rPr>
              <w:t>《绿化种植土壤》</w:t>
            </w:r>
            <w:r>
              <w:rPr>
                <w:rFonts w:ascii="仿宋_GB2312" w:hAnsi="仿宋_GB2312" w:cs="仿宋_GB2312" w:eastAsia="仿宋_GB2312"/>
                <w:sz w:val="24"/>
              </w:rPr>
              <w:t>CJT340-2016</w:t>
            </w:r>
            <w:r>
              <w:br/>
            </w:r>
            <w:r>
              <w:rPr>
                <w:rFonts w:ascii="仿宋_GB2312" w:hAnsi="仿宋_GB2312" w:cs="仿宋_GB2312" w:eastAsia="仿宋_GB2312"/>
                <w:sz w:val="24"/>
              </w:rPr>
              <w:t>《园林绿化工程工程量计算规范》（</w:t>
            </w:r>
            <w:r>
              <w:rPr>
                <w:rFonts w:ascii="仿宋_GB2312" w:hAnsi="仿宋_GB2312" w:cs="仿宋_GB2312" w:eastAsia="仿宋_GB2312"/>
                <w:sz w:val="24"/>
              </w:rPr>
              <w:t>GB50858-2013）</w:t>
            </w:r>
            <w:r>
              <w:br/>
            </w:r>
            <w:r>
              <w:rPr>
                <w:rFonts w:ascii="仿宋_GB2312" w:hAnsi="仿宋_GB2312" w:cs="仿宋_GB2312" w:eastAsia="仿宋_GB2312"/>
                <w:sz w:val="24"/>
              </w:rPr>
              <w:t>《环境景观</w:t>
            </w:r>
            <w:r>
              <w:rPr>
                <w:rFonts w:ascii="仿宋_GB2312" w:hAnsi="仿宋_GB2312" w:cs="仿宋_GB2312" w:eastAsia="仿宋_GB2312"/>
                <w:sz w:val="24"/>
              </w:rPr>
              <w:t>-绿化种植设计》03J012-2</w:t>
            </w:r>
            <w:r>
              <w:br/>
            </w:r>
            <w:r>
              <w:rPr>
                <w:rFonts w:ascii="仿宋_GB2312" w:hAnsi="仿宋_GB2312" w:cs="仿宋_GB2312" w:eastAsia="仿宋_GB2312"/>
                <w:sz w:val="24"/>
              </w:rPr>
              <w:t>《国家园林绿化养护标准》</w:t>
            </w:r>
            <w:r>
              <w:rPr>
                <w:rFonts w:ascii="仿宋_GB2312" w:hAnsi="仿宋_GB2312" w:cs="仿宋_GB2312" w:eastAsia="仿宋_GB2312"/>
                <w:sz w:val="24"/>
              </w:rPr>
              <w:t>CJJ/T287-2018</w:t>
            </w:r>
            <w:r>
              <w:br/>
            </w:r>
            <w:r>
              <w:rPr>
                <w:rFonts w:ascii="仿宋_GB2312" w:hAnsi="仿宋_GB2312" w:cs="仿宋_GB2312" w:eastAsia="仿宋_GB2312"/>
                <w:sz w:val="24"/>
              </w:rPr>
              <w:t>《园林景观工程设计（行业）取费标准》</w:t>
            </w:r>
            <w:r>
              <w:rPr>
                <w:rFonts w:ascii="仿宋_GB2312" w:hAnsi="仿宋_GB2312" w:cs="仿宋_GB2312" w:eastAsia="仿宋_GB2312"/>
                <w:sz w:val="24"/>
              </w:rPr>
              <w:t>2013</w:t>
            </w:r>
            <w:r>
              <w:br/>
            </w:r>
            <w:r>
              <w:rPr>
                <w:rFonts w:ascii="仿宋_GB2312" w:hAnsi="仿宋_GB2312" w:cs="仿宋_GB2312" w:eastAsia="仿宋_GB2312"/>
                <w:sz w:val="24"/>
              </w:rPr>
              <w:t>《总图制图标准》</w:t>
            </w:r>
            <w:r>
              <w:rPr>
                <w:rFonts w:ascii="仿宋_GB2312" w:hAnsi="仿宋_GB2312" w:cs="仿宋_GB2312" w:eastAsia="仿宋_GB2312"/>
                <w:sz w:val="24"/>
              </w:rPr>
              <w:t>GB/T 50103-2010</w:t>
            </w:r>
            <w:r>
              <w:br/>
            </w:r>
            <w:r>
              <w:rPr>
                <w:rFonts w:ascii="仿宋_GB2312" w:hAnsi="仿宋_GB2312" w:cs="仿宋_GB2312" w:eastAsia="仿宋_GB2312"/>
                <w:sz w:val="24"/>
              </w:rPr>
              <w:t>《风景园林制图标准》</w:t>
            </w:r>
            <w:r>
              <w:rPr>
                <w:rFonts w:ascii="仿宋_GB2312" w:hAnsi="仿宋_GB2312" w:cs="仿宋_GB2312" w:eastAsia="仿宋_GB2312"/>
                <w:sz w:val="24"/>
              </w:rPr>
              <w:t>CJJ/T67-2015</w:t>
            </w:r>
            <w:r>
              <w:br/>
            </w:r>
            <w:r>
              <w:rPr>
                <w:rFonts w:ascii="仿宋_GB2312" w:hAnsi="仿宋_GB2312" w:cs="仿宋_GB2312" w:eastAsia="仿宋_GB2312"/>
                <w:sz w:val="24"/>
              </w:rPr>
              <w:t>《环境景观</w:t>
            </w:r>
            <w:r>
              <w:rPr>
                <w:rFonts w:ascii="仿宋_GB2312" w:hAnsi="仿宋_GB2312" w:cs="仿宋_GB2312" w:eastAsia="仿宋_GB2312"/>
                <w:sz w:val="24"/>
              </w:rPr>
              <w:t>-室外工程细部构造》15J012-1</w:t>
            </w:r>
            <w:r>
              <w:br/>
            </w:r>
            <w:r>
              <w:rPr>
                <w:rFonts w:ascii="仿宋_GB2312" w:hAnsi="仿宋_GB2312" w:cs="仿宋_GB2312" w:eastAsia="仿宋_GB2312"/>
                <w:sz w:val="24"/>
              </w:rPr>
              <w:t>《环境景观</w:t>
            </w:r>
            <w:r>
              <w:rPr>
                <w:rFonts w:ascii="仿宋_GB2312" w:hAnsi="仿宋_GB2312" w:cs="仿宋_GB2312" w:eastAsia="仿宋_GB2312"/>
                <w:sz w:val="24"/>
              </w:rPr>
              <w:t>-亭、廊、架》04J012-3</w:t>
            </w:r>
          </w:p>
          <w:p>
            <w:pPr>
              <w:pStyle w:val="null3"/>
              <w:jc w:val="both"/>
            </w:pPr>
            <w:r>
              <w:rPr>
                <w:rFonts w:ascii="仿宋_GB2312" w:hAnsi="仿宋_GB2312" w:cs="仿宋_GB2312" w:eastAsia="仿宋_GB2312"/>
                <w:sz w:val="24"/>
                <w:b/>
              </w:rPr>
              <w:t>二、技术要求</w:t>
            </w:r>
          </w:p>
          <w:p>
            <w:pPr>
              <w:pStyle w:val="null3"/>
              <w:jc w:val="both"/>
            </w:pPr>
            <w:r>
              <w:rPr>
                <w:rFonts w:ascii="仿宋_GB2312" w:hAnsi="仿宋_GB2312" w:cs="仿宋_GB2312" w:eastAsia="仿宋_GB2312"/>
                <w:sz w:val="24"/>
              </w:rPr>
              <w:t>1、标志标线系统</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1）标志：</w:t>
            </w:r>
          </w:p>
          <w:p>
            <w:pPr>
              <w:pStyle w:val="null3"/>
              <w:jc w:val="both"/>
            </w:pPr>
            <w:r>
              <w:rPr>
                <w:rFonts w:ascii="仿宋_GB2312" w:hAnsi="仿宋_GB2312" w:cs="仿宋_GB2312" w:eastAsia="仿宋_GB2312"/>
                <w:sz w:val="24"/>
              </w:rPr>
              <w:t>①本次对既有道路公路标志进行全部排查，对信息错误，损坏，失效，重复设置，版面不规范等标志进行提升；</w:t>
            </w:r>
          </w:p>
          <w:p>
            <w:pPr>
              <w:pStyle w:val="null3"/>
              <w:jc w:val="both"/>
            </w:pPr>
            <w:r>
              <w:rPr>
                <w:rFonts w:ascii="仿宋_GB2312" w:hAnsi="仿宋_GB2312" w:cs="仿宋_GB2312" w:eastAsia="仿宋_GB2312"/>
                <w:sz w:val="24"/>
              </w:rPr>
              <w:t>②既有标志尽量利用原先结构，采用换板，换膜，附着信息等方式对版面进行更新，体现“低碳、经济，节约”的原则；</w:t>
            </w:r>
          </w:p>
          <w:p>
            <w:pPr>
              <w:pStyle w:val="null3"/>
              <w:jc w:val="both"/>
            </w:pPr>
            <w:r>
              <w:rPr>
                <w:rFonts w:ascii="仿宋_GB2312" w:hAnsi="仿宋_GB2312" w:cs="仿宋_GB2312" w:eastAsia="仿宋_GB2312"/>
                <w:sz w:val="24"/>
              </w:rPr>
              <w:t>③遵循“路网一体、协同考虑；系统设置、信息连续；版面统一、简洁美观；满足识认、保证视距“的提升原则。</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2）标线：</w:t>
            </w:r>
          </w:p>
          <w:p>
            <w:pPr>
              <w:pStyle w:val="null3"/>
              <w:jc w:val="both"/>
            </w:pPr>
            <w:r>
              <w:rPr>
                <w:rFonts w:ascii="仿宋_GB2312" w:hAnsi="仿宋_GB2312" w:cs="仿宋_GB2312" w:eastAsia="仿宋_GB2312"/>
                <w:sz w:val="24"/>
              </w:rPr>
              <w:t>①本次对既有道路标线进行全部排查，对危险路段的磨损严重、缺失以及施划错误的标线进行重新施划；</w:t>
            </w:r>
          </w:p>
          <w:p>
            <w:pPr>
              <w:pStyle w:val="null3"/>
              <w:jc w:val="both"/>
            </w:pPr>
            <w:r>
              <w:rPr>
                <w:rFonts w:ascii="仿宋_GB2312" w:hAnsi="仿宋_GB2312" w:cs="仿宋_GB2312" w:eastAsia="仿宋_GB2312"/>
                <w:sz w:val="24"/>
              </w:rPr>
              <w:t>②在回头弯道及村镇进口处增加相应警示类标线，警示车辆驾驶人员，提升道路通行能力。</w:t>
            </w:r>
          </w:p>
          <w:p>
            <w:pPr>
              <w:pStyle w:val="null3"/>
              <w:jc w:val="both"/>
            </w:pPr>
            <w:r>
              <w:rPr>
                <w:rFonts w:ascii="仿宋_GB2312" w:hAnsi="仿宋_GB2312" w:cs="仿宋_GB2312" w:eastAsia="仿宋_GB2312"/>
                <w:sz w:val="24"/>
              </w:rPr>
              <w:t>2、服务设施与景观要求</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1）服务设施布局：</w:t>
            </w:r>
          </w:p>
          <w:p>
            <w:pPr>
              <w:pStyle w:val="null3"/>
              <w:jc w:val="both"/>
            </w:pPr>
            <w:r>
              <w:rPr>
                <w:rFonts w:ascii="仿宋_GB2312" w:hAnsi="仿宋_GB2312" w:cs="仿宋_GB2312" w:eastAsia="仿宋_GB2312"/>
                <w:sz w:val="24"/>
              </w:rPr>
              <w:t>主线服务设施结合如厕现状，配备旅游厕所、结合客流量设置充电桩。</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2）景观设计要求：</w:t>
            </w:r>
          </w:p>
          <w:p>
            <w:pPr>
              <w:pStyle w:val="null3"/>
              <w:jc w:val="both"/>
            </w:pPr>
            <w:r>
              <w:rPr>
                <w:rFonts w:ascii="仿宋_GB2312" w:hAnsi="仿宋_GB2312" w:cs="仿宋_GB2312" w:eastAsia="仿宋_GB2312"/>
                <w:sz w:val="24"/>
              </w:rPr>
              <w:t>自然景观与人工景观的和谐融合，分利用和融合自然景观要素和人工景观要素，以实现自然与人工的和谐统一。</w:t>
            </w:r>
          </w:p>
          <w:p>
            <w:pPr>
              <w:pStyle w:val="null3"/>
              <w:jc w:val="both"/>
            </w:pPr>
            <w:r>
              <w:rPr>
                <w:rFonts w:ascii="仿宋_GB2312" w:hAnsi="仿宋_GB2312" w:cs="仿宋_GB2312" w:eastAsia="仿宋_GB2312"/>
                <w:sz w:val="24"/>
              </w:rPr>
              <w:t>功能性：景观设计需满足特定的功能需求，如提供休闲、娱乐、运动等场所，同时确保空间的实用性和便捷性，本项目更注重休闲、观景的景观属性。</w:t>
            </w:r>
          </w:p>
          <w:p>
            <w:pPr>
              <w:pStyle w:val="null3"/>
              <w:jc w:val="both"/>
            </w:pPr>
            <w:r>
              <w:rPr>
                <w:rFonts w:ascii="仿宋_GB2312" w:hAnsi="仿宋_GB2312" w:cs="仿宋_GB2312" w:eastAsia="仿宋_GB2312"/>
                <w:sz w:val="24"/>
              </w:rPr>
              <w:t>生态性：应注重生态平衡和环境保护，采用生态设计手法，尽量以自然元素材料设计，对现场环境减少过多的人工干预。同时，选用乡土树种和适生植物，减少外来物种引入，维护区域生物多样性和生态平衡。</w:t>
            </w:r>
          </w:p>
          <w:p>
            <w:pPr>
              <w:pStyle w:val="null3"/>
              <w:jc w:val="both"/>
            </w:pPr>
            <w:r>
              <w:rPr>
                <w:rFonts w:ascii="仿宋_GB2312" w:hAnsi="仿宋_GB2312" w:cs="仿宋_GB2312" w:eastAsia="仿宋_GB2312"/>
                <w:sz w:val="24"/>
              </w:rPr>
              <w:t>文化性：景观设计应融入当地的文化元素和历史背景，体现地域特色和文化内涵，增强场所的认同感和归属感，每个城市都有其独特的文化底蕴和历史脉络，沿线的景观作为城市风貌的展示窗口，应深入挖掘并融合地方文化元素。通过景观小品、雕塑、植物配置等方式，讲述城市故事，传承历史文化，增强景观的文化内涵和辨识度。同时，鼓励创新设计，将现代审美与传统文化相结合，创造出既具有时代感又不失地方特色的园林作品。</w:t>
            </w:r>
          </w:p>
          <w:p>
            <w:pPr>
              <w:pStyle w:val="null3"/>
              <w:jc w:val="both"/>
            </w:pPr>
            <w:r>
              <w:rPr>
                <w:rFonts w:ascii="仿宋_GB2312" w:hAnsi="仿宋_GB2312" w:cs="仿宋_GB2312" w:eastAsia="仿宋_GB2312"/>
                <w:sz w:val="24"/>
              </w:rPr>
              <w:t>艺术性：需注重艺术美感和审美价值，通过合理的布局、造型、色彩等手段，创造出具有视觉冲击力和艺术感染力的景观效果。</w:t>
            </w:r>
          </w:p>
          <w:p>
            <w:pPr>
              <w:pStyle w:val="null3"/>
              <w:jc w:val="both"/>
            </w:pPr>
            <w:r>
              <w:rPr>
                <w:rFonts w:ascii="仿宋_GB2312" w:hAnsi="仿宋_GB2312" w:cs="仿宋_GB2312" w:eastAsia="仿宋_GB2312"/>
                <w:sz w:val="24"/>
              </w:rPr>
              <w:t>可持续性：景观设计应考虑资源的节约和环境的可持续性，采用节能、环保的材料和技术，减少对环境的影响，实现景观的长期可持续发展。</w:t>
            </w:r>
          </w:p>
          <w:p>
            <w:pPr>
              <w:pStyle w:val="null3"/>
              <w:jc w:val="both"/>
            </w:pPr>
            <w:r>
              <w:rPr>
                <w:rFonts w:ascii="仿宋_GB2312" w:hAnsi="仿宋_GB2312" w:cs="仿宋_GB2312" w:eastAsia="仿宋_GB2312"/>
                <w:sz w:val="24"/>
              </w:rPr>
              <w:t>经济性：景观的建设和维护需要投入大量资金，因此经济合理性也是不可忽视的一环。在规划设计中，应充分考虑成本效益分析，合理控制建设成本，避免奢侈浪费。同时，选用易于养护管理的植物材料和设施设备，降低后期维护成本。此外，建立科学的维护管理机制，确保景观的持续美观和生态效益的发挥。</w:t>
            </w:r>
          </w:p>
          <w:p>
            <w:pPr>
              <w:pStyle w:val="null3"/>
              <w:jc w:val="both"/>
            </w:pPr>
            <w:r>
              <w:rPr>
                <w:rFonts w:ascii="仿宋_GB2312" w:hAnsi="仿宋_GB2312" w:cs="仿宋_GB2312" w:eastAsia="仿宋_GB2312"/>
                <w:sz w:val="24"/>
                <w:b/>
              </w:rPr>
              <w:t>三、主要服务内容</w:t>
            </w:r>
          </w:p>
          <w:p>
            <w:pPr>
              <w:pStyle w:val="null3"/>
              <w:jc w:val="both"/>
            </w:pPr>
            <w:r>
              <w:rPr>
                <w:rFonts w:ascii="仿宋_GB2312" w:hAnsi="仿宋_GB2312" w:cs="仿宋_GB2312" w:eastAsia="仿宋_GB2312"/>
                <w:sz w:val="24"/>
              </w:rPr>
              <w:t>通过对全国范围内优秀旅游公路调研，总结成功建设经验。陕西一号旅游公路标志标线标识和服务设施提升行动方案设计主要从四个方面进行提升改造。一是打造旅游公路特色徽标；二是标志、标线系统提升改造；三是对沿线服务设施进行微提升；四是试点零碳服务区的提升改造。最终确定项目总体投资规模，完成陕西一号旅游公路标志标线标识及服务设施提升行动方案编制。</w:t>
            </w:r>
          </w:p>
          <w:p>
            <w:pPr>
              <w:pStyle w:val="null3"/>
              <w:jc w:val="both"/>
            </w:pPr>
            <w:r>
              <w:rPr>
                <w:rFonts w:ascii="仿宋_GB2312" w:hAnsi="仿宋_GB2312" w:cs="仿宋_GB2312" w:eastAsia="仿宋_GB2312"/>
                <w:sz w:val="24"/>
                <w:b/>
              </w:rPr>
              <w:t>四、</w:t>
            </w:r>
            <w:r>
              <w:rPr>
                <w:rFonts w:ascii="仿宋_GB2312" w:hAnsi="仿宋_GB2312" w:cs="仿宋_GB2312" w:eastAsia="仿宋_GB2312"/>
                <w:sz w:val="24"/>
                <w:b/>
              </w:rPr>
              <w:t>售后保障</w:t>
            </w:r>
          </w:p>
          <w:p>
            <w:pPr>
              <w:pStyle w:val="null3"/>
              <w:jc w:val="both"/>
            </w:pPr>
            <w:r>
              <w:rPr>
                <w:rFonts w:ascii="仿宋_GB2312" w:hAnsi="仿宋_GB2312" w:cs="仿宋_GB2312" w:eastAsia="仿宋_GB2312"/>
                <w:sz w:val="24"/>
              </w:rPr>
              <w:t>在采购人规定的时间内积极配合采购人对设计方案进行优化，接受采购人提出的建议和意见。项目组在项目完成期间与采购人、地方管理部门等单位进行充分沟通，维护国家、社会和采购人利益。同时，配合采购人进行文件报上级评审，申报工作。为采购人提供及时、周到、满意和诚信的服务。</w:t>
            </w:r>
          </w:p>
          <w:p>
            <w:pPr>
              <w:pStyle w:val="null3"/>
              <w:jc w:val="both"/>
            </w:pPr>
            <w:r>
              <w:rPr>
                <w:rFonts w:ascii="仿宋_GB2312" w:hAnsi="仿宋_GB2312" w:cs="仿宋_GB2312" w:eastAsia="仿宋_GB2312"/>
                <w:sz w:val="24"/>
                <w:b/>
              </w:rPr>
              <w:t>五、成果提交</w:t>
            </w:r>
          </w:p>
          <w:p>
            <w:pPr>
              <w:pStyle w:val="null3"/>
              <w:jc w:val="both"/>
            </w:pPr>
            <w:r>
              <w:rPr>
                <w:rFonts w:ascii="仿宋_GB2312" w:hAnsi="仿宋_GB2312" w:cs="仿宋_GB2312" w:eastAsia="仿宋_GB2312"/>
                <w:sz w:val="24"/>
              </w:rPr>
              <w:t>《陕西一号旅游公路标志标线标识和服务设施提升行动方案》，提交</w:t>
            </w:r>
            <w:r>
              <w:rPr>
                <w:rFonts w:ascii="仿宋_GB2312" w:hAnsi="仿宋_GB2312" w:cs="仿宋_GB2312" w:eastAsia="仿宋_GB2312"/>
                <w:sz w:val="24"/>
              </w:rPr>
              <w:t>A3纸质版成果4份，并提供电子版成果。</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一年。如因省财政年度预算拨款等政策要求，甲方向乙方支付全部合同价款不视为双方合同履约结束，乙方仍应按照合同约定，后续服务至方案通过主管部门审核，并协助采购人取得相关部门的批复为止。</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1.供应商完成合同约定的全部内容，并向采购人提交项目实施过程中的所有资料,以便采购人日后管理和维护该项目。各项成果资料满足国家现行的相关技术标准、规范、规程等以及我省公路管理相关规定。 2.采购人确认供应商能够达到合同约定要求后，组织供应商（必要时邀请第三方专家）进行项目验收。供应商提交合同履约情况总结报告，并经采购人确认。验收合格后，填写项目验收单作为对项目的最终认可。 3.验收依据：①本合同及附件文本；②竞争性磋商文件、磋商响应文件、澄清表（函）；③国家相应的标准、规范。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合同签订前，乙方须向甲方缴纳合同总金额5%的履约保证金，履约保证金待乙方履行完毕全部合同义务，并经甲方履约验收合格，无任何纠纷后无息退还。 合同签订后，甲方收到履约保证金及增值税普通发票后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乙方完成全部合同内容，提交相应成果报告经甲方确认合格后</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1.甲乙双方必须遵守本合同并执行合同中的各项规定，保证本合同的正常履行。 2.如因乙方工作人员在履行职务过程中的的疏忽、失职、过错等故意或者过失原因给甲方造成损失或侵害，包括但不限于甲方本身的财产损失、由此而导致的甲方对任何第三方的法律责任等，乙方对此均应承担全部的赔偿责任。 3.因省财政年度预算拨款等政策要求，甲方向乙方支付全部合同价款不视为双方合同履约结束，乙方仍应按照合同约定，完成全部工作内容，否则将视为乙方存在严重失信行为，甲方将上报省财政厅，将乙方列入信用“黑名单”，并在“中国政府采购网”、“信用中国”等网站公示；同时甲方保留要求乙方退还合同价款、赔偿损失的权利。 4.乙方逾期完成服务的，每逾期一日，向甲方承担合同总价款0.3%的违约金，逾期30日的，甲方有权单方解除本合同且保留追究乙方违约责任的权利，给甲方造成损失的，乙方还应予以赔偿。 5.乙方完成的工作成果未通过甲方验收的，乙方应按照甲方的要求无条件进行修改，修改2次以上仍不合格，甲方有权单方面解除本合同，乙方应无条件退还已收取的全部合同价款，并按合同总价的10%向甲方支付违约金，违约金不足以弥补甲方损失的，乙方还应予以补足。 6.乙方应保证其提交的服务成果不存在侵犯他人权益的情形，否则，因此引发的责任及纠纷由乙方承担，对甲方造成损失的，乙方应予以赔偿，此外，乙方还应向甲方承担合同总价款20%的惩罚性违约金。 7.乙方应对其服务及服务成果的合法性、科学性、有效性、客观性、真实性负责，否则，相关责任及纠纷由乙方承担，对甲方造成损失的，乙方应予赔偿，此外，乙方还应向甲方承担合同总价款10%的违约金。 解决争议的方法：在履行本合同的过程中发生争议，双方当事人经友好协商仍无法达成一致的，任何一方有权向甲方所在地具有管辖权的法院起诉。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1.在线客服：通过陕西省政府采购网-在线客服进行咨询技术服务电话：029-96702 CA及签章服务：通过陕西省政府采购网-服务专区进行查询 2.请将采购代理服务费汇至下列指定账户：户名：陕西海堂项目管理咨询有限公司 开户银行：中国银行股份有限公司西安雁塔路支行 账号：103675480567 3.供应商需要在线提交所有通过电子化交易平台实施的政府采购项目的投标文件，同时，线下提交投标文件正本壹份、副本贰套、电子版贰套（U盘标明供应商名称）。 线下提交投标文件地点：于开标截止时间前。 线下提交投标文件地点：西安市建西街123号三楼第一会议室。 若电子投标文件与纸质投标文件不一致的，以电子投标文件为准；若正本和副本不符，以正本为准。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服务内容及服务邀请应答表 供应商应提交的相关资格证明材料 授权书.docx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本合同包不专门面向中小企业。</w:t>
            </w:r>
          </w:p>
        </w:tc>
        <w:tc>
          <w:tcPr>
            <w:tcW w:type="dxa" w:w="3322"/>
          </w:tcPr>
          <w:p>
            <w:pPr>
              <w:pStyle w:val="null3"/>
            </w:pPr>
            <w:r>
              <w:rPr>
                <w:rFonts w:ascii="仿宋_GB2312" w:hAnsi="仿宋_GB2312" w:cs="仿宋_GB2312" w:eastAsia="仿宋_GB2312"/>
              </w:rPr>
              <w:t>本合同包不专门面向中小企业。</w:t>
            </w:r>
          </w:p>
        </w:tc>
        <w:tc>
          <w:tcPr>
            <w:tcW w:type="dxa" w:w="1661"/>
          </w:tcPr>
          <w:p>
            <w:pPr>
              <w:pStyle w:val="null3"/>
            </w:pPr>
            <w:r>
              <w:rPr>
                <w:rFonts w:ascii="仿宋_GB2312" w:hAnsi="仿宋_GB2312" w:cs="仿宋_GB2312" w:eastAsia="仿宋_GB2312"/>
              </w:rPr>
              <w:t>响应文件封面 中小企业声明函 残疾人福利性单位声明函 标的清单 报价表 响应函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授权委托书</w:t>
            </w:r>
          </w:p>
        </w:tc>
        <w:tc>
          <w:tcPr>
            <w:tcW w:type="dxa" w:w="3322"/>
          </w:tcPr>
          <w:p>
            <w:pPr>
              <w:pStyle w:val="null3"/>
            </w:pPr>
            <w:r>
              <w:rPr>
                <w:rFonts w:ascii="仿宋_GB2312" w:hAnsi="仿宋_GB2312" w:cs="仿宋_GB2312" w:eastAsia="仿宋_GB2312"/>
              </w:rPr>
              <w:t>法定代表人(负责人)参与投标时，提供法定代表人(负责人)身份证明及本人身份证复印件加盖公章；授权代表参与投标时，提供企业法人授权委托书及被授权人身份证复印件加盖公章；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2023年度或2024年度经审计的财务会计报告（包括审计报告、资产负债表、利润表、现金流量表、所有者权益变动表及其附注，成立时间至提交响应文件截止时间不足一年的可提供成立后任意时段的资产负债表），或其磋商前三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提供2024年10月至今已缴存的一个月的社会保障资金缴存单据或社保机构开具的社会保险参保缴费情况证明，依法不需要缴纳社会保障资金的投标单位应提供相关文件证明；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提供2024年10月至今已缴纳的至少一个月的纳税证明或完税证明，依法免税的单位应提供相关证明材料；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供应商应具有工程设计公路行业（公路、交通工程）专业甲级资质；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参加政府采购活动前3年内经营活动中没有重大违法记录声明；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通过“信用中国”网站（www.creditchina.gov.cn/ ）和“中国政府采购网”（http://www.ccgp.gov.cn/）查询投标主体未被列入失信被执行人、重大税收失信主体、政府采购严重违法失信行为记录名单；</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提供具有履行服务合同所必需的产品和专业技术能力的承诺；</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单位负责人为同一人或者存在控股、管理关系的不同供应商，不得同时参加本项目采购活动；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非联合体磋商声明</w:t>
            </w:r>
          </w:p>
        </w:tc>
        <w:tc>
          <w:tcPr>
            <w:tcW w:type="dxa" w:w="3322"/>
          </w:tcPr>
          <w:p>
            <w:pPr>
              <w:pStyle w:val="null3"/>
            </w:pPr>
            <w:r>
              <w:rPr>
                <w:rFonts w:ascii="仿宋_GB2312" w:hAnsi="仿宋_GB2312" w:cs="仿宋_GB2312" w:eastAsia="仿宋_GB2312"/>
              </w:rPr>
              <w:t>本项目不接受联合体磋商，供应商须提供《非联合体磋商声明》，视为独立参与磋商活动；</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不分包磋商声明</w:t>
            </w:r>
          </w:p>
        </w:tc>
        <w:tc>
          <w:tcPr>
            <w:tcW w:type="dxa" w:w="3322"/>
          </w:tcPr>
          <w:p>
            <w:pPr>
              <w:pStyle w:val="null3"/>
            </w:pPr>
            <w:r>
              <w:rPr>
                <w:rFonts w:ascii="仿宋_GB2312" w:hAnsi="仿宋_GB2312" w:cs="仿宋_GB2312" w:eastAsia="仿宋_GB2312"/>
              </w:rPr>
              <w:t>本项目不允许分包，供应商须提供《不分包磋商声明》，视为独立参与磋商活动。</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供应商名称与营业执照、资质证书一致</w:t>
            </w:r>
          </w:p>
        </w:tc>
        <w:tc>
          <w:tcPr>
            <w:tcW w:type="dxa" w:w="3322"/>
          </w:tcPr>
          <w:p>
            <w:pPr>
              <w:pStyle w:val="null3"/>
            </w:pPr>
            <w:r>
              <w:rPr>
                <w:rFonts w:ascii="仿宋_GB2312" w:hAnsi="仿宋_GB2312" w:cs="仿宋_GB2312" w:eastAsia="仿宋_GB2312"/>
              </w:rPr>
              <w:t>在磋商过程中，磋商小组认为供应商名称与营业执照、资质证书不一致，磋商小组应当将其响应文件作为无效处理。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响应文件的语言、计量单位、报价货币是否满足磋商文件要求；</w:t>
            </w:r>
          </w:p>
        </w:tc>
        <w:tc>
          <w:tcPr>
            <w:tcW w:type="dxa" w:w="3322"/>
          </w:tcPr>
          <w:p>
            <w:pPr>
              <w:pStyle w:val="null3"/>
            </w:pPr>
            <w:r>
              <w:rPr>
                <w:rFonts w:ascii="仿宋_GB2312" w:hAnsi="仿宋_GB2312" w:cs="仿宋_GB2312" w:eastAsia="仿宋_GB2312"/>
              </w:rPr>
              <w:t>在磋商过程中，磋商小组认为响应文件的语言、计量单位、报价货币不满足磋商文件要求，磋商小组应当将其响应文件作为无效处理。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磋商有效期是否达到磋商文件要求；</w:t>
            </w:r>
          </w:p>
        </w:tc>
        <w:tc>
          <w:tcPr>
            <w:tcW w:type="dxa" w:w="3322"/>
          </w:tcPr>
          <w:p>
            <w:pPr>
              <w:pStyle w:val="null3"/>
            </w:pPr>
            <w:r>
              <w:rPr>
                <w:rFonts w:ascii="仿宋_GB2312" w:hAnsi="仿宋_GB2312" w:cs="仿宋_GB2312" w:eastAsia="仿宋_GB2312"/>
              </w:rPr>
              <w:t>磋商有效期达不到磋商文件要求，磋商小组应当将其响应文件作为无效处理。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是否符合法律、法规和磋商文件中规定的其他实质性要求。</w:t>
            </w:r>
          </w:p>
        </w:tc>
        <w:tc>
          <w:tcPr>
            <w:tcW w:type="dxa" w:w="3322"/>
          </w:tcPr>
          <w:p>
            <w:pPr>
              <w:pStyle w:val="null3"/>
            </w:pPr>
            <w:r>
              <w:rPr>
                <w:rFonts w:ascii="仿宋_GB2312" w:hAnsi="仿宋_GB2312" w:cs="仿宋_GB2312" w:eastAsia="仿宋_GB2312"/>
              </w:rPr>
              <w:t>在磋商过程中，磋商小组认为响应文件不符合法律、法规和磋商文件中规定的其他实质性要求，磋商小组应当将其响应文件作为无效处理。</w:t>
            </w:r>
          </w:p>
        </w:tc>
        <w:tc>
          <w:tcPr>
            <w:tcW w:type="dxa" w:w="1661"/>
          </w:tcPr>
          <w:p>
            <w:pPr>
              <w:pStyle w:val="null3"/>
            </w:pPr>
            <w:r>
              <w:rPr>
                <w:rFonts w:ascii="仿宋_GB2312" w:hAnsi="仿宋_GB2312" w:cs="仿宋_GB2312" w:eastAsia="仿宋_GB2312"/>
              </w:rPr>
              <w:t>响应文件封面</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项目实施方案1</w:t>
            </w:r>
          </w:p>
        </w:tc>
        <w:tc>
          <w:tcPr>
            <w:tcW w:type="dxa" w:w="2492"/>
          </w:tcPr>
          <w:p>
            <w:pPr>
              <w:pStyle w:val="null3"/>
            </w:pPr>
            <w:r>
              <w:rPr>
                <w:rFonts w:ascii="仿宋_GB2312" w:hAnsi="仿宋_GB2312" w:cs="仿宋_GB2312" w:eastAsia="仿宋_GB2312"/>
              </w:rPr>
              <w:t>1.旅游公路特色徽标设计方案评分： （1）徽标设计极具创意性和独特性，辨识度极高，完美契合陕西旅游公路的主题和特色，得5分； （2）徽标设计有一定的创意和独特性，辨识度尚可，与陕西旅游公路的主题和特色较为契合，得3分； （3）徽标设计缺乏创意和独特性，辨识度低，与陕西旅游公路的主题和特色不符，得1分。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项目实施方案2</w:t>
            </w:r>
          </w:p>
        </w:tc>
        <w:tc>
          <w:tcPr>
            <w:tcW w:type="dxa" w:w="2492"/>
          </w:tcPr>
          <w:p>
            <w:pPr>
              <w:pStyle w:val="null3"/>
            </w:pPr>
            <w:r>
              <w:rPr>
                <w:rFonts w:ascii="仿宋_GB2312" w:hAnsi="仿宋_GB2312" w:cs="仿宋_GB2312" w:eastAsia="仿宋_GB2312"/>
              </w:rPr>
              <w:t>2.标志、标线系统提升改造方案评分： （1）方案极其合理、实用且美观，能显著提升道路安全性能，得5分； （2）方案较为合理、实用，美观度尚可，对道路安全性能有所提升，但提升效果有限，得3分； （3）方案不合理、不实用，美观度差，对道路安全性能无提升甚至可能产生负面影响，得1分。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项目实施方案3</w:t>
            </w:r>
          </w:p>
        </w:tc>
        <w:tc>
          <w:tcPr>
            <w:tcW w:type="dxa" w:w="2492"/>
          </w:tcPr>
          <w:p>
            <w:pPr>
              <w:pStyle w:val="null3"/>
            </w:pPr>
            <w:r>
              <w:rPr>
                <w:rFonts w:ascii="仿宋_GB2312" w:hAnsi="仿宋_GB2312" w:cs="仿宋_GB2312" w:eastAsia="仿宋_GB2312"/>
              </w:rPr>
              <w:t>3.沿线服务设施微提升方案评分： （1）方案全面、针对性强，能显著提升游客体验，便捷性极高，得5分； （2）方案较为全面，有一定的针对性，便捷性一般，得3分； （3）方案不全面，缺乏针对性，便捷性差，得1分。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项目实施方案4</w:t>
            </w:r>
          </w:p>
        </w:tc>
        <w:tc>
          <w:tcPr>
            <w:tcW w:type="dxa" w:w="2492"/>
          </w:tcPr>
          <w:p>
            <w:pPr>
              <w:pStyle w:val="null3"/>
            </w:pPr>
            <w:r>
              <w:rPr>
                <w:rFonts w:ascii="仿宋_GB2312" w:hAnsi="仿宋_GB2312" w:cs="仿宋_GB2312" w:eastAsia="仿宋_GB2312"/>
              </w:rPr>
              <w:t>4.零碳服务区提升改造试点方案评分： （1）方案极具创新性、可行性强，环保效果显著，得5分； （2）方案有一定的创新性、可行性尚可，环保效果一般，得3分； （3）方案缺乏创新性、可行性差，环保效果差，得1分。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工作计划及进度保证措施</w:t>
            </w:r>
          </w:p>
        </w:tc>
        <w:tc>
          <w:tcPr>
            <w:tcW w:type="dxa" w:w="2492"/>
          </w:tcPr>
          <w:p>
            <w:pPr>
              <w:pStyle w:val="null3"/>
            </w:pPr>
            <w:r>
              <w:rPr>
                <w:rFonts w:ascii="仿宋_GB2312" w:hAnsi="仿宋_GB2312" w:cs="仿宋_GB2312" w:eastAsia="仿宋_GB2312"/>
              </w:rPr>
              <w:t>1.有完整的工作计划和进度保证措施，进度措施具体可行，针对性强，得10分； 2.有较完整的工作计划和进度保证措施，进度保证措施比较可行，针对性较强，得8分； 3.有工作计划，进度保证措施不够全面，可行性一般，针对性不强，得5分； 4.工作计划及进度保证措施笼统简单，针对性差，得2分； 5.未提供此项不得分。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质量安全保证措</w:t>
            </w:r>
          </w:p>
        </w:tc>
        <w:tc>
          <w:tcPr>
            <w:tcW w:type="dxa" w:w="2492"/>
          </w:tcPr>
          <w:p>
            <w:pPr>
              <w:pStyle w:val="null3"/>
            </w:pPr>
            <w:r>
              <w:rPr>
                <w:rFonts w:ascii="仿宋_GB2312" w:hAnsi="仿宋_GB2312" w:cs="仿宋_GB2312" w:eastAsia="仿宋_GB2312"/>
              </w:rPr>
              <w:t>1.有完整的质量保证体系和质量安全保证措施，具体可行，针对性强，能保证项目高质量完成的，得10分； 2.有较完整的质量保证体系和质量安全保证措施，较可行，针对性较强，能保证项目较高质量完成的，得8分； 3.质量保证体系和质量安全保证措施一般，可行度一般，针对性一般，基本能保证项目完成的，得5分； 4.质量保证体系和质量保证措施不完善，可行度有欠缺，针对性有欠缺，不太能保证项目完成的得2分； 5.未提供此项不得分。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后续服务保障措施</w:t>
            </w:r>
          </w:p>
        </w:tc>
        <w:tc>
          <w:tcPr>
            <w:tcW w:type="dxa" w:w="2492"/>
          </w:tcPr>
          <w:p>
            <w:pPr>
              <w:pStyle w:val="null3"/>
            </w:pPr>
            <w:r>
              <w:rPr>
                <w:rFonts w:ascii="仿宋_GB2312" w:hAnsi="仿宋_GB2312" w:cs="仿宋_GB2312" w:eastAsia="仿宋_GB2312"/>
              </w:rPr>
              <w:t>1.后续服务保障全面、应对措施完整可行，得5分； 2.后续服务保障一般，应对措施基本可行，得3分； 3.后续服务保障不完善，应对措施可行性差，得1分； 4.未提供此项不得分。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1.项目组织管理机构设置及人员分工安排合理、职责划分明确，得5分； 2.项目组织管理机构设置及人员分工安排较合理、职责划分较明确，得3； 3.项目组织管理机构设置及人员分工安排不太合理、职责划分不明确，得1分； 4.未提供此项不得分。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项目认知情况</w:t>
            </w:r>
          </w:p>
        </w:tc>
        <w:tc>
          <w:tcPr>
            <w:tcW w:type="dxa" w:w="2492"/>
          </w:tcPr>
          <w:p>
            <w:pPr>
              <w:pStyle w:val="null3"/>
            </w:pPr>
            <w:r>
              <w:rPr>
                <w:rFonts w:ascii="仿宋_GB2312" w:hAnsi="仿宋_GB2312" w:cs="仿宋_GB2312" w:eastAsia="仿宋_GB2312"/>
              </w:rPr>
              <w:t>1.对本项目和采购需求的理解和认知全面、深入、清晰，得5分； 2.对本项目和采购需求的理解和认知较全面、深入、清晰，得3分； 3.对本项目和采购需求的理解和认知一般，得1分； 4.对本项目和采购需求的理解和认知片面或未提供此项的不得分。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1.项目负责人：具有公路相关专业高级职称，从事公路设计工作10年及以上，得5分，不满足以上要求不得分； 2022年1月1日至磋商截止日，累计担任过1项公路（交通安全设施）设计项目的负责人，得3分，不满足以上要求不得分；每增加1项类似项目，加1分，最高加2分。 2.拟投入人员：具备公路交通相关专业中级职称，0.5分/人，具备公路交通相关专业高级及以上职称，1分/人，最多得5分。 备注：1.上述人员须提供身份证、社保缴纳证明（2024年10月1日至响应文件提交截止之日前任意连续3个月的缴费证明）材料复印件；同时上述加分项均须提供证明材料，包括但不限于职称证书、合同文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供应商近3年（从2022年1月1日至响应文件递交截止日）至少5个类似业绩，得5分；每增加1个，加2分，最多加10分。 以上业绩均须提供有效证明文件，包括但不限于中标（成交）通知书、合同复印件或履约证明等相关证明文件复印件。</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满足磋商文件要求且最终报价最低的供应商的价格为磋商基准价，其价格分为满分。其他供应商的价格分统一按照下列公式计算：磋商报价得分=（磋商基准价/最终磋商报价）×价格权值×100 符合磋商文件规定的小微企业、监狱企业、残疾人福利企业优惠条件的供应商，价格给予10%的扣除，用扣除后的价格参与评审。 注：计算分数时四舍五入取小数点后两位。</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详见附件：授权书.docx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