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版本号：HCXM-CS-2504-06.1B120250514001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办理房产证相关技术服务采购项目(二次)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HCXM-CS-2504-06.1B1</w:t>
      </w:r>
      <w:r>
        <w:br/>
      </w:r>
      <w:r>
        <w:br/>
      </w:r>
      <w:r>
        <w:br/>
      </w:r>
    </w:p>
    <w:p>
      <w:pPr>
        <w:pStyle w:val="null3"/>
        <w:jc w:val="center"/>
        <w:outlineLvl w:val="2"/>
      </w:pPr>
      <w:r>
        <w:rPr>
          <w:rFonts w:ascii="仿宋_GB2312" w:hAnsi="仿宋_GB2312" w:cs="仿宋_GB2312" w:eastAsia="仿宋_GB2312"/>
          <w:sz w:val="28"/>
          <w:b/>
        </w:rPr>
        <w:t>陕西省计量科学研究院</w:t>
      </w:r>
    </w:p>
    <w:p>
      <w:pPr>
        <w:pStyle w:val="null3"/>
        <w:jc w:val="center"/>
        <w:outlineLvl w:val="2"/>
      </w:pPr>
      <w:r>
        <w:rPr>
          <w:rFonts w:ascii="仿宋_GB2312" w:hAnsi="仿宋_GB2312" w:cs="仿宋_GB2312" w:eastAsia="仿宋_GB2312"/>
          <w:sz w:val="28"/>
          <w:b/>
        </w:rPr>
        <w:t>汇成项目管理有限公司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汇成项目管理有限公司</w:t>
      </w:r>
      <w:r>
        <w:rPr>
          <w:rFonts w:ascii="仿宋_GB2312" w:hAnsi="仿宋_GB2312" w:cs="仿宋_GB2312" w:eastAsia="仿宋_GB2312"/>
        </w:rPr>
        <w:t>（以下简称“代理机构”）受</w:t>
      </w:r>
      <w:r>
        <w:rPr>
          <w:rFonts w:ascii="仿宋_GB2312" w:hAnsi="仿宋_GB2312" w:cs="仿宋_GB2312" w:eastAsia="仿宋_GB2312"/>
        </w:rPr>
        <w:t>陕西省计量科学研究院</w:t>
      </w:r>
      <w:r>
        <w:rPr>
          <w:rFonts w:ascii="仿宋_GB2312" w:hAnsi="仿宋_GB2312" w:cs="仿宋_GB2312" w:eastAsia="仿宋_GB2312"/>
        </w:rPr>
        <w:t>委托，拟对</w:t>
      </w:r>
      <w:r>
        <w:rPr>
          <w:rFonts w:ascii="仿宋_GB2312" w:hAnsi="仿宋_GB2312" w:cs="仿宋_GB2312" w:eastAsia="仿宋_GB2312"/>
        </w:rPr>
        <w:t>办理房产证相关技术服务采购项目(二次)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HCXM-CS-2504-06.1B1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办理房产证相关技术服务采购项目(二次)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办理房产证相关技术服务采购项目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采购包1（办理房产证相关技术服务采购项目）：属于专门面向小微企业采购。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的特定资格要求：（1）提供法人或者其他组织有效的营业执照、税务登记证、组织机构代码证（或统一社会信用代码的营业执照）证明文件；（2）法定代表人授权书及被授权人身份证复印件（法人参加只需提供身份证复印件）；（3）财务状况报告（二选一）：①供应商提供2023年度或2024年度任一年度经会计事务所或审计机构审计的完整的财务审计报告（成立时间至提供响应文件截止时间不足一年的可提供成立后任意时段的资产负债表）；②在磋商截止时间前三个月内其开户银行出具的资信证明（附开户许可证或基本账户存款信息）；（4）税收缴纳证明：提供2024年至今已缴纳的至少一个月的纳税证明或完税证明，依法免税的单位应提供相关证明材料；（5）社会保障资金缴纳证明：提供2024年度至今已缴存的至少一个月的社会保障资金缴存单据或社保机构开具的社会保险参保缴费情况证明，依法不需要缴纳社会保障资金的单位应提供相关证明材料；（6）供应商应在磋商截止日前未被列入失信被执行人、重大税收违法案件当事人名单、政府采购严重违法失信行为记录名单（处罚期限届满的除外）（以“信用中国”网站（www.creditchina.gov.cn）或中国政府采购网（www.ccgp.gov.cn）查询结果为准，提供网站截图（查询日期为从竞争性磋商文件发售之日起至磋商截止日前）并加盖供应商公章；（7）供应商应出具参加政府采购活动前3年内在经营活动中没有重大违法记录的书面声明；（8）本项目供应商应具有行政主管部门颁发的测绘乙级及以上资质(专业类别须包含工程测量、界线与不动产测绘专业)；（9）本项目负责人应具备测绘相关工程师及以上专业职称；（10）本项目供应商近三年有类似项目测绘业绩3个以上；（11）提供履行合同所必需的设备及专业技术能力的说明及承诺。注、本项目不接受联合体。</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陕西省计量科学研究院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西安市航天基地神舟六路南段580号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陕西省计量科学研究院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029-85838133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汇成项目管理有限公司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陕西省西安市雁塔区团结南路12号西安国际人才大厦A座北1508</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刘婧莎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029-68781555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采购包1：270,000.00元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开户名称：汇成项目管理有限公司（备注：缴纳时需备注项目名称、采购包号；开具保函的单位，在投标截止前一天需给代理机构交一份纸质版保函。）</w:t>
            </w:r>
          </w:p>
          <w:p>
            <w:pPr>
              <w:pStyle w:val="null3"/>
            </w:pPr>
            <w:r>
              <w:rPr>
                <w:rFonts w:ascii="仿宋_GB2312" w:hAnsi="仿宋_GB2312" w:cs="仿宋_GB2312" w:eastAsia="仿宋_GB2312"/>
              </w:rPr>
              <w:t>开户银行：中国建设银行股份有限公司西安高新科技支行</w:t>
            </w:r>
          </w:p>
          <w:p>
            <w:pPr>
              <w:pStyle w:val="null3"/>
            </w:pPr>
            <w:r>
              <w:rPr>
                <w:rFonts w:ascii="仿宋_GB2312" w:hAnsi="仿宋_GB2312" w:cs="仿宋_GB2312" w:eastAsia="仿宋_GB2312"/>
              </w:rPr>
              <w:t>银行账号：61050192570000000294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代理服务费收费标准：中标人/成交人在领取中标通知书时，向汇成项目管理有限公司交纳招标代理服务费。服务费收费标准参照原《国家计委关于印发&lt;招标代理服务收费管理暂行办法&gt;的通知》 (计价格〔2002〕1980号)、《国家发展改革委关于降低部分建设项目收费标准规范收费行为等有关问题的通知》(发改价格〔2015〕299号)规定执行。 服务费账户信息： 户名：汇成项目管理有限公司 账号：6105 0192 5700 0000 0294 开户行：中国建设银行西安高新科技支行。具体收费金额将在成交公告中公布。</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陕西省计量科学研究院</w:t>
      </w:r>
      <w:r>
        <w:rPr>
          <w:rFonts w:ascii="仿宋_GB2312" w:hAnsi="仿宋_GB2312" w:cs="仿宋_GB2312" w:eastAsia="仿宋_GB2312"/>
        </w:rPr>
        <w:t>和</w:t>
      </w:r>
      <w:r>
        <w:rPr>
          <w:rFonts w:ascii="仿宋_GB2312" w:hAnsi="仿宋_GB2312" w:cs="仿宋_GB2312" w:eastAsia="仿宋_GB2312"/>
        </w:rPr>
        <w:t>汇成项目管理有限公司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陕西省计量科学研究院</w:t>
      </w:r>
      <w:r>
        <w:rPr>
          <w:rFonts w:ascii="仿宋_GB2312" w:hAnsi="仿宋_GB2312" w:cs="仿宋_GB2312" w:eastAsia="仿宋_GB2312"/>
        </w:rPr>
        <w:t>负责解释。除上述磋商文件内容，其他内容由</w:t>
      </w:r>
      <w:r>
        <w:rPr>
          <w:rFonts w:ascii="仿宋_GB2312" w:hAnsi="仿宋_GB2312" w:cs="仿宋_GB2312" w:eastAsia="仿宋_GB2312"/>
        </w:rPr>
        <w:t>汇成项目管理有限公司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陕西省计量科学研究院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汇成项目管理有限公司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以最终签订合同为准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汇成项目管理有限公司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汇成项目管理有限公司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汇成项目管理有限公司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联系人：刘婧莎</w:t>
      </w:r>
    </w:p>
    <w:p>
      <w:pPr>
        <w:pStyle w:val="null3"/>
      </w:pPr>
      <w:r>
        <w:rPr>
          <w:rFonts w:ascii="仿宋_GB2312" w:hAnsi="仿宋_GB2312" w:cs="仿宋_GB2312" w:eastAsia="仿宋_GB2312"/>
        </w:rPr>
        <w:t>联系电话：029-68781555</w:t>
      </w:r>
    </w:p>
    <w:p>
      <w:pPr>
        <w:pStyle w:val="null3"/>
      </w:pPr>
      <w:r>
        <w:rPr>
          <w:rFonts w:ascii="仿宋_GB2312" w:hAnsi="仿宋_GB2312" w:cs="仿宋_GB2312" w:eastAsia="仿宋_GB2312"/>
        </w:rPr>
        <w:t>地址：陕西省西安市雁塔区团结南路12号西安国际人才大厦A座北1508</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计量科学院净用地面积74.9亩。由7栋单体建筑形成综合实验楼群，总建筑面积61683平方米（其中地上建筑面积40635平方米，地下建筑面积21048平方米）。依据中华人民共和国国家标准《房产测量规范》GB/T17986.1-2000、《测绘成果质量检查与验收》GB/T24356及相关部门要求的文件、细则进行入户分户测量等办理本院房产证相关技术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270,000.00</w:t>
      </w:r>
    </w:p>
    <w:p>
      <w:pPr>
        <w:pStyle w:val="null3"/>
      </w:pPr>
      <w:r>
        <w:rPr>
          <w:rFonts w:ascii="仿宋_GB2312" w:hAnsi="仿宋_GB2312" w:cs="仿宋_GB2312" w:eastAsia="仿宋_GB2312"/>
        </w:rPr>
        <w:t>采购包最高限价（元）: 270,000.00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办理房产证相关技术服务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标的名称：办理房产证相关技术服务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一</w:t>
            </w:r>
            <w:r>
              <w:rPr>
                <w:rFonts w:ascii="仿宋_GB2312" w:hAnsi="仿宋_GB2312" w:cs="仿宋_GB2312" w:eastAsia="仿宋_GB2312"/>
                <w:sz w:val="28"/>
                <w:b/>
              </w:rPr>
              <w:t>、服务内容</w:t>
            </w:r>
          </w:p>
          <w:p>
            <w:pPr>
              <w:pStyle w:val="null3"/>
              <w:jc w:val="both"/>
            </w:pPr>
            <w:r>
              <w:rPr>
                <w:rFonts w:ascii="仿宋_GB2312" w:hAnsi="仿宋_GB2312" w:cs="仿宋_GB2312" w:eastAsia="仿宋_GB2312"/>
                <w:sz w:val="24"/>
              </w:rPr>
              <w:t>1.准备工作</w:t>
            </w:r>
          </w:p>
          <w:p>
            <w:pPr>
              <w:pStyle w:val="null3"/>
              <w:ind w:firstLine="480"/>
              <w:jc w:val="both"/>
            </w:pPr>
            <w:r>
              <w:rPr>
                <w:rFonts w:ascii="仿宋_GB2312" w:hAnsi="仿宋_GB2312" w:cs="仿宋_GB2312" w:eastAsia="仿宋_GB2312"/>
                <w:sz w:val="24"/>
              </w:rPr>
              <w:t>1.1.资料收集</w:t>
            </w:r>
          </w:p>
          <w:p>
            <w:pPr>
              <w:pStyle w:val="null3"/>
              <w:ind w:firstLine="480"/>
              <w:jc w:val="both"/>
            </w:pPr>
            <w:r>
              <w:rPr>
                <w:rFonts w:ascii="仿宋_GB2312" w:hAnsi="仿宋_GB2312" w:cs="仿宋_GB2312" w:eastAsia="仿宋_GB2312"/>
                <w:sz w:val="24"/>
              </w:rPr>
              <w:t>收集项目相关的基础资料，如用地红线图、规划许可证、建筑设计图纸、权属证明等。</w:t>
            </w:r>
            <w:r>
              <w:rPr>
                <w:rFonts w:ascii="仿宋_GB2312" w:hAnsi="仿宋_GB2312" w:cs="仿宋_GB2312" w:eastAsia="仿宋_GB2312"/>
                <w:sz w:val="24"/>
              </w:rPr>
              <w:t xml:space="preserve">  </w:t>
            </w:r>
          </w:p>
          <w:p>
            <w:pPr>
              <w:pStyle w:val="null3"/>
              <w:ind w:firstLine="480"/>
              <w:jc w:val="both"/>
            </w:pPr>
            <w:r>
              <w:rPr>
                <w:rFonts w:ascii="仿宋_GB2312" w:hAnsi="仿宋_GB2312" w:cs="仿宋_GB2312" w:eastAsia="仿宋_GB2312"/>
                <w:sz w:val="24"/>
              </w:rPr>
              <w:t>获取房屋竣工图或施工图，明确房屋结构、布局及附属设施信息。</w:t>
            </w:r>
            <w:r>
              <w:rPr>
                <w:rFonts w:ascii="仿宋_GB2312" w:hAnsi="仿宋_GB2312" w:cs="仿宋_GB2312" w:eastAsia="仿宋_GB2312"/>
                <w:sz w:val="24"/>
              </w:rPr>
              <w:t xml:space="preserve">  </w:t>
            </w:r>
          </w:p>
          <w:p>
            <w:pPr>
              <w:pStyle w:val="null3"/>
              <w:ind w:firstLine="480"/>
              <w:jc w:val="both"/>
            </w:pPr>
            <w:r>
              <w:rPr>
                <w:rFonts w:ascii="仿宋_GB2312" w:hAnsi="仿宋_GB2312" w:cs="仿宋_GB2312" w:eastAsia="仿宋_GB2312"/>
                <w:sz w:val="24"/>
              </w:rPr>
              <w:t>1.2.仪器准备</w:t>
            </w:r>
          </w:p>
          <w:p>
            <w:pPr>
              <w:pStyle w:val="null3"/>
              <w:ind w:firstLine="480"/>
              <w:jc w:val="both"/>
            </w:pPr>
            <w:r>
              <w:rPr>
                <w:rFonts w:ascii="仿宋_GB2312" w:hAnsi="仿宋_GB2312" w:cs="仿宋_GB2312" w:eastAsia="仿宋_GB2312"/>
                <w:sz w:val="24"/>
              </w:rPr>
              <w:t>校准全站仪、</w:t>
            </w:r>
            <w:r>
              <w:rPr>
                <w:rFonts w:ascii="仿宋_GB2312" w:hAnsi="仿宋_GB2312" w:cs="仿宋_GB2312" w:eastAsia="仿宋_GB2312"/>
                <w:sz w:val="24"/>
              </w:rPr>
              <w:t xml:space="preserve">RTK（实时动态定位系统）、测距仪、水准仪等测量设备。  </w:t>
            </w:r>
          </w:p>
          <w:p>
            <w:pPr>
              <w:pStyle w:val="null3"/>
              <w:ind w:firstLine="480"/>
              <w:jc w:val="both"/>
            </w:pPr>
            <w:r>
              <w:rPr>
                <w:rFonts w:ascii="仿宋_GB2312" w:hAnsi="仿宋_GB2312" w:cs="仿宋_GB2312" w:eastAsia="仿宋_GB2312"/>
                <w:sz w:val="24"/>
              </w:rPr>
              <w:t>确保仪器符合测绘精度要求（如《房产测量规范》</w:t>
            </w:r>
            <w:r>
              <w:rPr>
                <w:rFonts w:ascii="仿宋_GB2312" w:hAnsi="仿宋_GB2312" w:cs="仿宋_GB2312" w:eastAsia="仿宋_GB2312"/>
                <w:sz w:val="24"/>
              </w:rPr>
              <w:t xml:space="preserve">GB/T 17986）。  </w:t>
            </w:r>
          </w:p>
          <w:p>
            <w:pPr>
              <w:pStyle w:val="null3"/>
              <w:ind w:firstLine="480"/>
              <w:jc w:val="both"/>
            </w:pPr>
            <w:r>
              <w:rPr>
                <w:rFonts w:ascii="仿宋_GB2312" w:hAnsi="仿宋_GB2312" w:cs="仿宋_GB2312" w:eastAsia="仿宋_GB2312"/>
                <w:sz w:val="24"/>
              </w:rPr>
              <w:t>1.3.现场勘查</w:t>
            </w:r>
          </w:p>
          <w:p>
            <w:pPr>
              <w:pStyle w:val="null3"/>
              <w:ind w:firstLine="480"/>
              <w:jc w:val="both"/>
            </w:pPr>
            <w:r>
              <w:rPr>
                <w:rFonts w:ascii="仿宋_GB2312" w:hAnsi="仿宋_GB2312" w:cs="仿宋_GB2312" w:eastAsia="仿宋_GB2312"/>
                <w:sz w:val="24"/>
              </w:rPr>
              <w:t>确定房屋实际位置与规划图纸的一致性。</w:t>
            </w:r>
            <w:r>
              <w:rPr>
                <w:rFonts w:ascii="仿宋_GB2312" w:hAnsi="仿宋_GB2312" w:cs="仿宋_GB2312" w:eastAsia="仿宋_GB2312"/>
                <w:sz w:val="24"/>
              </w:rPr>
              <w:t xml:space="preserve">  </w:t>
            </w:r>
          </w:p>
          <w:p>
            <w:pPr>
              <w:pStyle w:val="null3"/>
              <w:ind w:firstLine="480"/>
              <w:jc w:val="both"/>
            </w:pPr>
            <w:r>
              <w:rPr>
                <w:rFonts w:ascii="仿宋_GB2312" w:hAnsi="仿宋_GB2312" w:cs="仿宋_GB2312" w:eastAsia="仿宋_GB2312"/>
                <w:sz w:val="24"/>
              </w:rPr>
              <w:t>标记房屋边界、界址点、公共区域等关键点位。</w:t>
            </w:r>
          </w:p>
          <w:p>
            <w:pPr>
              <w:pStyle w:val="null3"/>
              <w:jc w:val="both"/>
            </w:pPr>
            <w:r>
              <w:rPr>
                <w:rFonts w:ascii="仿宋_GB2312" w:hAnsi="仿宋_GB2312" w:cs="仿宋_GB2312" w:eastAsia="仿宋_GB2312"/>
                <w:sz w:val="24"/>
              </w:rPr>
              <w:t>2.外业测量</w:t>
            </w:r>
          </w:p>
          <w:p>
            <w:pPr>
              <w:pStyle w:val="null3"/>
              <w:ind w:firstLine="480"/>
              <w:jc w:val="both"/>
            </w:pPr>
            <w:r>
              <w:rPr>
                <w:rFonts w:ascii="仿宋_GB2312" w:hAnsi="仿宋_GB2312" w:cs="仿宋_GB2312" w:eastAsia="仿宋_GB2312"/>
                <w:sz w:val="24"/>
              </w:rPr>
              <w:t>2.1.控制测量</w:t>
            </w:r>
          </w:p>
          <w:p>
            <w:pPr>
              <w:pStyle w:val="null3"/>
              <w:ind w:firstLine="480"/>
              <w:jc w:val="both"/>
            </w:pPr>
            <w:r>
              <w:rPr>
                <w:rFonts w:ascii="仿宋_GB2312" w:hAnsi="仿宋_GB2312" w:cs="仿宋_GB2312" w:eastAsia="仿宋_GB2312"/>
                <w:sz w:val="24"/>
              </w:rPr>
              <w:t>建立测区控制网，布设基准点（如坐标控制点、高程点），为后续测量提供统一基准。</w:t>
            </w:r>
            <w:r>
              <w:rPr>
                <w:rFonts w:ascii="仿宋_GB2312" w:hAnsi="仿宋_GB2312" w:cs="仿宋_GB2312" w:eastAsia="仿宋_GB2312"/>
                <w:sz w:val="24"/>
              </w:rPr>
              <w:t xml:space="preserve">  </w:t>
            </w:r>
          </w:p>
          <w:p>
            <w:pPr>
              <w:pStyle w:val="null3"/>
              <w:ind w:firstLine="480"/>
              <w:jc w:val="both"/>
            </w:pPr>
            <w:r>
              <w:rPr>
                <w:rFonts w:ascii="仿宋_GB2312" w:hAnsi="仿宋_GB2312" w:cs="仿宋_GB2312" w:eastAsia="仿宋_GB2312"/>
                <w:sz w:val="24"/>
              </w:rPr>
              <w:t>2.2.界址点测量</w:t>
            </w:r>
          </w:p>
          <w:p>
            <w:pPr>
              <w:pStyle w:val="null3"/>
              <w:ind w:firstLine="480"/>
              <w:jc w:val="both"/>
            </w:pPr>
            <w:r>
              <w:rPr>
                <w:rFonts w:ascii="仿宋_GB2312" w:hAnsi="仿宋_GB2312" w:cs="仿宋_GB2312" w:eastAsia="仿宋_GB2312"/>
                <w:sz w:val="24"/>
              </w:rPr>
              <w:t>测定房屋四至边界（界址点坐标），确保权属范围准确，精度通常需达到厘米级。</w:t>
            </w:r>
            <w:r>
              <w:rPr>
                <w:rFonts w:ascii="仿宋_GB2312" w:hAnsi="仿宋_GB2312" w:cs="仿宋_GB2312" w:eastAsia="仿宋_GB2312"/>
                <w:sz w:val="24"/>
              </w:rPr>
              <w:t xml:space="preserve">  </w:t>
            </w:r>
          </w:p>
          <w:p>
            <w:pPr>
              <w:pStyle w:val="null3"/>
              <w:ind w:firstLine="480"/>
              <w:jc w:val="both"/>
            </w:pPr>
            <w:r>
              <w:rPr>
                <w:rFonts w:ascii="仿宋_GB2312" w:hAnsi="仿宋_GB2312" w:cs="仿宋_GB2312" w:eastAsia="仿宋_GB2312"/>
                <w:sz w:val="24"/>
              </w:rPr>
              <w:t>2.3.建筑物测量</w:t>
            </w:r>
          </w:p>
          <w:p>
            <w:pPr>
              <w:pStyle w:val="null3"/>
              <w:ind w:firstLine="480"/>
              <w:jc w:val="both"/>
            </w:pPr>
            <w:r>
              <w:rPr>
                <w:rFonts w:ascii="仿宋_GB2312" w:hAnsi="仿宋_GB2312" w:cs="仿宋_GB2312" w:eastAsia="仿宋_GB2312"/>
                <w:sz w:val="24"/>
              </w:rPr>
              <w:t>平面测量：测量房屋各层边长、墙体厚度、门窗位置等，绘制平面图。</w:t>
            </w:r>
            <w:r>
              <w:rPr>
                <w:rFonts w:ascii="仿宋_GB2312" w:hAnsi="仿宋_GB2312" w:cs="仿宋_GB2312" w:eastAsia="仿宋_GB2312"/>
                <w:sz w:val="24"/>
              </w:rPr>
              <w:t xml:space="preserve">  </w:t>
            </w:r>
          </w:p>
          <w:p>
            <w:pPr>
              <w:pStyle w:val="null3"/>
              <w:ind w:firstLine="480"/>
              <w:jc w:val="both"/>
            </w:pPr>
            <w:r>
              <w:rPr>
                <w:rFonts w:ascii="仿宋_GB2312" w:hAnsi="仿宋_GB2312" w:cs="仿宋_GB2312" w:eastAsia="仿宋_GB2312"/>
                <w:sz w:val="24"/>
              </w:rPr>
              <w:t>高度测量：记录层高、檐高、总高等数据。</w:t>
            </w:r>
            <w:r>
              <w:rPr>
                <w:rFonts w:ascii="仿宋_GB2312" w:hAnsi="仿宋_GB2312" w:cs="仿宋_GB2312" w:eastAsia="仿宋_GB2312"/>
                <w:sz w:val="24"/>
              </w:rPr>
              <w:t xml:space="preserve">  </w:t>
            </w:r>
          </w:p>
          <w:p>
            <w:pPr>
              <w:pStyle w:val="null3"/>
              <w:ind w:firstLine="480"/>
              <w:jc w:val="both"/>
            </w:pPr>
            <w:r>
              <w:rPr>
                <w:rFonts w:ascii="仿宋_GB2312" w:hAnsi="仿宋_GB2312" w:cs="仿宋_GB2312" w:eastAsia="仿宋_GB2312"/>
                <w:sz w:val="24"/>
              </w:rPr>
              <w:t>结构测量：区分不同功能区（如住宅、商铺、地下室）及结构类型（砖混、框架等）。</w:t>
            </w:r>
            <w:r>
              <w:rPr>
                <w:rFonts w:ascii="仿宋_GB2312" w:hAnsi="仿宋_GB2312" w:cs="仿宋_GB2312" w:eastAsia="仿宋_GB2312"/>
                <w:sz w:val="24"/>
              </w:rPr>
              <w:t xml:space="preserve">  </w:t>
            </w:r>
          </w:p>
          <w:p>
            <w:pPr>
              <w:pStyle w:val="null3"/>
              <w:ind w:firstLine="480"/>
              <w:jc w:val="both"/>
            </w:pPr>
            <w:r>
              <w:rPr>
                <w:rFonts w:ascii="仿宋_GB2312" w:hAnsi="仿宋_GB2312" w:cs="仿宋_GB2312" w:eastAsia="仿宋_GB2312"/>
                <w:sz w:val="24"/>
              </w:rPr>
              <w:t xml:space="preserve">2.4.附属设施测  </w:t>
            </w:r>
          </w:p>
          <w:p>
            <w:pPr>
              <w:pStyle w:val="null3"/>
              <w:ind w:firstLine="480"/>
              <w:jc w:val="both"/>
            </w:pPr>
            <w:r>
              <w:rPr>
                <w:rFonts w:ascii="仿宋_GB2312" w:hAnsi="仿宋_GB2312" w:cs="仿宋_GB2312" w:eastAsia="仿宋_GB2312"/>
                <w:sz w:val="24"/>
              </w:rPr>
              <w:t>测量阳台、走廊、楼梯间、电梯井、车位等公共或共用部位的面积。</w:t>
            </w:r>
            <w:r>
              <w:rPr>
                <w:rFonts w:ascii="仿宋_GB2312" w:hAnsi="仿宋_GB2312" w:cs="仿宋_GB2312" w:eastAsia="仿宋_GB2312"/>
                <w:sz w:val="24"/>
              </w:rPr>
              <w:t xml:space="preserve">  </w:t>
            </w:r>
          </w:p>
          <w:p>
            <w:pPr>
              <w:pStyle w:val="null3"/>
              <w:ind w:firstLine="480"/>
              <w:jc w:val="both"/>
            </w:pPr>
            <w:r>
              <w:rPr>
                <w:rFonts w:ascii="仿宋_GB2312" w:hAnsi="仿宋_GB2312" w:cs="仿宋_GB2312" w:eastAsia="仿宋_GB2312"/>
                <w:sz w:val="24"/>
              </w:rPr>
              <w:t>记录围墙、绿化带、道路等与房屋相关的配套设施。</w:t>
            </w:r>
          </w:p>
          <w:p>
            <w:pPr>
              <w:pStyle w:val="null3"/>
              <w:jc w:val="both"/>
            </w:pPr>
            <w:r>
              <w:rPr>
                <w:rFonts w:ascii="仿宋_GB2312" w:hAnsi="仿宋_GB2312" w:cs="仿宋_GB2312" w:eastAsia="仿宋_GB2312"/>
                <w:sz w:val="24"/>
              </w:rPr>
              <w:t>3.数据处理与计算</w:t>
            </w:r>
          </w:p>
          <w:p>
            <w:pPr>
              <w:pStyle w:val="null3"/>
              <w:ind w:firstLine="480"/>
              <w:jc w:val="both"/>
            </w:pPr>
            <w:r>
              <w:rPr>
                <w:rFonts w:ascii="仿宋_GB2312" w:hAnsi="仿宋_GB2312" w:cs="仿宋_GB2312" w:eastAsia="仿宋_GB2312"/>
                <w:sz w:val="24"/>
              </w:rPr>
              <w:t>3.1.数据整理</w:t>
            </w:r>
          </w:p>
          <w:p>
            <w:pPr>
              <w:pStyle w:val="null3"/>
              <w:ind w:firstLine="480"/>
              <w:jc w:val="both"/>
            </w:pPr>
            <w:r>
              <w:rPr>
                <w:rFonts w:ascii="仿宋_GB2312" w:hAnsi="仿宋_GB2312" w:cs="仿宋_GB2312" w:eastAsia="仿宋_GB2312"/>
                <w:sz w:val="24"/>
              </w:rPr>
              <w:t>将外业测量数据导入</w:t>
            </w:r>
            <w:r>
              <w:rPr>
                <w:rFonts w:ascii="仿宋_GB2312" w:hAnsi="仿宋_GB2312" w:cs="仿宋_GB2312" w:eastAsia="仿宋_GB2312"/>
                <w:sz w:val="24"/>
              </w:rPr>
              <w:t xml:space="preserve">AutoCAD、房产测绘大师，生成电子图件。  </w:t>
            </w:r>
          </w:p>
          <w:p>
            <w:pPr>
              <w:pStyle w:val="null3"/>
              <w:ind w:firstLine="480"/>
              <w:jc w:val="both"/>
            </w:pPr>
            <w:r>
              <w:rPr>
                <w:rFonts w:ascii="仿宋_GB2312" w:hAnsi="仿宋_GB2312" w:cs="仿宋_GB2312" w:eastAsia="仿宋_GB2312"/>
                <w:sz w:val="24"/>
              </w:rPr>
              <w:t>3.2.面积计算</w:t>
            </w:r>
          </w:p>
          <w:p>
            <w:pPr>
              <w:pStyle w:val="null3"/>
              <w:ind w:firstLine="480"/>
              <w:jc w:val="both"/>
            </w:pPr>
            <w:r>
              <w:rPr>
                <w:rFonts w:ascii="仿宋_GB2312" w:hAnsi="仿宋_GB2312" w:cs="仿宋_GB2312" w:eastAsia="仿宋_GB2312"/>
                <w:sz w:val="24"/>
              </w:rPr>
              <w:t>按《房产测量规范》计算建筑面积、套内面积、公摊面积等。</w:t>
            </w:r>
            <w:r>
              <w:rPr>
                <w:rFonts w:ascii="仿宋_GB2312" w:hAnsi="仿宋_GB2312" w:cs="仿宋_GB2312" w:eastAsia="仿宋_GB2312"/>
                <w:sz w:val="24"/>
              </w:rPr>
              <w:t xml:space="preserve">  </w:t>
            </w:r>
          </w:p>
          <w:p>
            <w:pPr>
              <w:pStyle w:val="null3"/>
              <w:ind w:firstLine="480"/>
              <w:jc w:val="both"/>
            </w:pPr>
            <w:r>
              <w:rPr>
                <w:rFonts w:ascii="仿宋_GB2312" w:hAnsi="仿宋_GB2312" w:cs="仿宋_GB2312" w:eastAsia="仿宋_GB2312"/>
                <w:sz w:val="24"/>
              </w:rPr>
              <w:t>区分不同用途区域（如居住面积、商业面积、地下车库面积）。</w:t>
            </w:r>
            <w:r>
              <w:rPr>
                <w:rFonts w:ascii="仿宋_GB2312" w:hAnsi="仿宋_GB2312" w:cs="仿宋_GB2312" w:eastAsia="仿宋_GB2312"/>
                <w:sz w:val="24"/>
              </w:rPr>
              <w:t xml:space="preserve">  </w:t>
            </w:r>
          </w:p>
          <w:p>
            <w:pPr>
              <w:pStyle w:val="null3"/>
              <w:ind w:firstLine="480"/>
              <w:jc w:val="both"/>
            </w:pPr>
            <w:r>
              <w:rPr>
                <w:rFonts w:ascii="仿宋_GB2312" w:hAnsi="仿宋_GB2312" w:cs="仿宋_GB2312" w:eastAsia="仿宋_GB2312"/>
                <w:sz w:val="24"/>
              </w:rPr>
              <w:t>3.3.分摊规则应用</w:t>
            </w:r>
          </w:p>
          <w:p>
            <w:pPr>
              <w:pStyle w:val="null3"/>
              <w:ind w:firstLine="480"/>
              <w:jc w:val="both"/>
            </w:pPr>
            <w:r>
              <w:rPr>
                <w:rFonts w:ascii="仿宋_GB2312" w:hAnsi="仿宋_GB2312" w:cs="仿宋_GB2312" w:eastAsia="仿宋_GB2312"/>
                <w:sz w:val="24"/>
              </w:rPr>
              <w:t>根据谁用谁分摊的原则及设备间情况说明，确定共有建筑面积的分摊方式。</w:t>
            </w:r>
            <w:r>
              <w:rPr>
                <w:rFonts w:ascii="仿宋_GB2312" w:hAnsi="仿宋_GB2312" w:cs="仿宋_GB2312" w:eastAsia="仿宋_GB2312"/>
                <w:sz w:val="24"/>
              </w:rPr>
              <w:t xml:space="preserve">  </w:t>
            </w:r>
          </w:p>
          <w:p>
            <w:pPr>
              <w:pStyle w:val="null3"/>
              <w:jc w:val="both"/>
            </w:pPr>
            <w:r>
              <w:rPr>
                <w:rFonts w:ascii="仿宋_GB2312" w:hAnsi="仿宋_GB2312" w:cs="仿宋_GB2312" w:eastAsia="仿宋_GB2312"/>
                <w:sz w:val="24"/>
              </w:rPr>
              <w:t>4.成果编制</w:t>
            </w:r>
          </w:p>
          <w:p>
            <w:pPr>
              <w:pStyle w:val="null3"/>
              <w:ind w:firstLine="480"/>
              <w:jc w:val="both"/>
            </w:pPr>
            <w:r>
              <w:rPr>
                <w:rFonts w:ascii="仿宋_GB2312" w:hAnsi="仿宋_GB2312" w:cs="仿宋_GB2312" w:eastAsia="仿宋_GB2312"/>
                <w:sz w:val="24"/>
              </w:rPr>
              <w:t>4.1.房产分户图</w:t>
            </w:r>
          </w:p>
          <w:p>
            <w:pPr>
              <w:pStyle w:val="null3"/>
              <w:ind w:firstLine="480"/>
              <w:jc w:val="both"/>
            </w:pPr>
            <w:r>
              <w:rPr>
                <w:rFonts w:ascii="仿宋_GB2312" w:hAnsi="仿宋_GB2312" w:cs="仿宋_GB2312" w:eastAsia="仿宋_GB2312"/>
                <w:sz w:val="24"/>
              </w:rPr>
              <w:t>展示每户的套内面积、公摊面积及权属界线，标注房间功能、墙体厚度等。</w:t>
            </w:r>
            <w:r>
              <w:rPr>
                <w:rFonts w:ascii="仿宋_GB2312" w:hAnsi="仿宋_GB2312" w:cs="仿宋_GB2312" w:eastAsia="仿宋_GB2312"/>
                <w:sz w:val="24"/>
              </w:rPr>
              <w:t xml:space="preserve">  </w:t>
            </w:r>
          </w:p>
          <w:p>
            <w:pPr>
              <w:pStyle w:val="null3"/>
              <w:ind w:firstLine="480"/>
              <w:jc w:val="both"/>
            </w:pPr>
            <w:r>
              <w:rPr>
                <w:rFonts w:ascii="仿宋_GB2312" w:hAnsi="仿宋_GB2312" w:cs="仿宋_GB2312" w:eastAsia="仿宋_GB2312"/>
                <w:sz w:val="24"/>
              </w:rPr>
              <w:t>4.2.房产分层图</w:t>
            </w:r>
          </w:p>
          <w:p>
            <w:pPr>
              <w:pStyle w:val="null3"/>
              <w:ind w:firstLine="480"/>
              <w:jc w:val="both"/>
            </w:pPr>
            <w:r>
              <w:rPr>
                <w:rFonts w:ascii="仿宋_GB2312" w:hAnsi="仿宋_GB2312" w:cs="仿宋_GB2312" w:eastAsia="仿宋_GB2312"/>
                <w:sz w:val="24"/>
              </w:rPr>
              <w:t>按楼层绘制房屋平面布局，标明公共区域与专有部分。</w:t>
            </w:r>
            <w:r>
              <w:rPr>
                <w:rFonts w:ascii="仿宋_GB2312" w:hAnsi="仿宋_GB2312" w:cs="仿宋_GB2312" w:eastAsia="仿宋_GB2312"/>
                <w:sz w:val="24"/>
              </w:rPr>
              <w:t xml:space="preserve">  </w:t>
            </w:r>
          </w:p>
          <w:p>
            <w:pPr>
              <w:pStyle w:val="null3"/>
              <w:ind w:firstLine="480"/>
              <w:jc w:val="both"/>
            </w:pPr>
            <w:r>
              <w:rPr>
                <w:rFonts w:ascii="仿宋_GB2312" w:hAnsi="仿宋_GB2312" w:cs="仿宋_GB2312" w:eastAsia="仿宋_GB2312"/>
                <w:sz w:val="24"/>
              </w:rPr>
              <w:t>4.3.建筑面积计算表</w:t>
            </w:r>
          </w:p>
          <w:p>
            <w:pPr>
              <w:pStyle w:val="null3"/>
              <w:ind w:firstLine="480"/>
              <w:jc w:val="both"/>
            </w:pPr>
            <w:r>
              <w:rPr>
                <w:rFonts w:ascii="仿宋_GB2312" w:hAnsi="仿宋_GB2312" w:cs="仿宋_GB2312" w:eastAsia="仿宋_GB2312"/>
                <w:sz w:val="24"/>
              </w:rPr>
              <w:t>详细列出各区域面积计算过程及分摊结果。</w:t>
            </w:r>
            <w:r>
              <w:rPr>
                <w:rFonts w:ascii="仿宋_GB2312" w:hAnsi="仿宋_GB2312" w:cs="仿宋_GB2312" w:eastAsia="仿宋_GB2312"/>
                <w:sz w:val="24"/>
              </w:rPr>
              <w:t xml:space="preserve">  </w:t>
            </w:r>
          </w:p>
          <w:p>
            <w:pPr>
              <w:pStyle w:val="null3"/>
              <w:ind w:firstLine="480"/>
              <w:jc w:val="both"/>
            </w:pPr>
            <w:r>
              <w:rPr>
                <w:rFonts w:ascii="仿宋_GB2312" w:hAnsi="仿宋_GB2312" w:cs="仿宋_GB2312" w:eastAsia="仿宋_GB2312"/>
                <w:sz w:val="24"/>
              </w:rPr>
              <w:t>4.4.技术报告</w:t>
            </w:r>
          </w:p>
          <w:p>
            <w:pPr>
              <w:pStyle w:val="null3"/>
              <w:ind w:firstLine="480"/>
              <w:jc w:val="both"/>
            </w:pPr>
            <w:r>
              <w:rPr>
                <w:rFonts w:ascii="仿宋_GB2312" w:hAnsi="仿宋_GB2312" w:cs="仿宋_GB2312" w:eastAsia="仿宋_GB2312"/>
                <w:sz w:val="24"/>
              </w:rPr>
              <w:t>说明测量依据、方法、精度及特殊情况处理（如不规则结构、争议边界）。</w:t>
            </w:r>
          </w:p>
          <w:p>
            <w:pPr>
              <w:pStyle w:val="null3"/>
              <w:jc w:val="both"/>
            </w:pPr>
            <w:r>
              <w:rPr>
                <w:rFonts w:ascii="仿宋_GB2312" w:hAnsi="仿宋_GB2312" w:cs="仿宋_GB2312" w:eastAsia="仿宋_GB2312"/>
                <w:sz w:val="24"/>
              </w:rPr>
              <w:t>5.质量检查与验收</w:t>
            </w:r>
          </w:p>
          <w:p>
            <w:pPr>
              <w:pStyle w:val="null3"/>
              <w:ind w:firstLine="480"/>
              <w:jc w:val="both"/>
            </w:pPr>
            <w:r>
              <w:rPr>
                <w:rFonts w:ascii="仿宋_GB2312" w:hAnsi="仿宋_GB2312" w:cs="仿宋_GB2312" w:eastAsia="仿宋_GB2312"/>
                <w:sz w:val="24"/>
              </w:rPr>
              <w:t>5.1.三级检查制度</w:t>
            </w:r>
          </w:p>
          <w:p>
            <w:pPr>
              <w:pStyle w:val="null3"/>
              <w:ind w:firstLine="480"/>
              <w:jc w:val="both"/>
            </w:pPr>
            <w:r>
              <w:rPr>
                <w:rFonts w:ascii="仿宋_GB2312" w:hAnsi="仿宋_GB2312" w:cs="仿宋_GB2312" w:eastAsia="仿宋_GB2312"/>
                <w:sz w:val="24"/>
              </w:rPr>
              <w:t>作业组自检、部门互检、单位专检，确保数据准确性和合规性。</w:t>
            </w:r>
            <w:r>
              <w:rPr>
                <w:rFonts w:ascii="仿宋_GB2312" w:hAnsi="仿宋_GB2312" w:cs="仿宋_GB2312" w:eastAsia="仿宋_GB2312"/>
                <w:sz w:val="24"/>
              </w:rPr>
              <w:t xml:space="preserve">  </w:t>
            </w:r>
          </w:p>
          <w:p>
            <w:pPr>
              <w:pStyle w:val="null3"/>
              <w:ind w:firstLine="480"/>
              <w:jc w:val="both"/>
            </w:pPr>
            <w:r>
              <w:rPr>
                <w:rFonts w:ascii="仿宋_GB2312" w:hAnsi="仿宋_GB2312" w:cs="仿宋_GB2312" w:eastAsia="仿宋_GB2312"/>
                <w:sz w:val="24"/>
              </w:rPr>
              <w:t>5.2.成果审核</w:t>
            </w:r>
          </w:p>
          <w:p>
            <w:pPr>
              <w:pStyle w:val="null3"/>
              <w:ind w:firstLine="480"/>
              <w:jc w:val="both"/>
            </w:pPr>
            <w:r>
              <w:rPr>
                <w:rFonts w:ascii="仿宋_GB2312" w:hAnsi="仿宋_GB2312" w:cs="仿宋_GB2312" w:eastAsia="仿宋_GB2312"/>
                <w:sz w:val="24"/>
              </w:rPr>
              <w:t>核对实测数据与规划审批文件的一致性，确保无遗漏或误差。</w:t>
            </w:r>
            <w:r>
              <w:rPr>
                <w:rFonts w:ascii="仿宋_GB2312" w:hAnsi="仿宋_GB2312" w:cs="仿宋_GB2312" w:eastAsia="仿宋_GB2312"/>
                <w:sz w:val="24"/>
              </w:rPr>
              <w:t xml:space="preserve">  </w:t>
            </w:r>
          </w:p>
          <w:p>
            <w:pPr>
              <w:pStyle w:val="null3"/>
              <w:ind w:firstLine="480"/>
              <w:jc w:val="both"/>
            </w:pPr>
            <w:r>
              <w:rPr>
                <w:rFonts w:ascii="仿宋_GB2312" w:hAnsi="仿宋_GB2312" w:cs="仿宋_GB2312" w:eastAsia="仿宋_GB2312"/>
                <w:sz w:val="24"/>
              </w:rPr>
              <w:t>5.3.备案与归档</w:t>
            </w:r>
          </w:p>
          <w:p>
            <w:pPr>
              <w:pStyle w:val="null3"/>
              <w:ind w:firstLine="480"/>
              <w:jc w:val="both"/>
            </w:pPr>
            <w:r>
              <w:rPr>
                <w:rFonts w:ascii="仿宋_GB2312" w:hAnsi="仿宋_GB2312" w:cs="仿宋_GB2312" w:eastAsia="仿宋_GB2312"/>
                <w:sz w:val="24"/>
              </w:rPr>
              <w:t>将成果提交至不动产登记中心或相关部门备案，归档原始数据及图纸。</w:t>
            </w:r>
          </w:p>
          <w:p>
            <w:pPr>
              <w:pStyle w:val="null3"/>
              <w:jc w:val="both"/>
            </w:pPr>
            <w:r>
              <w:rPr>
                <w:rFonts w:ascii="仿宋_GB2312" w:hAnsi="仿宋_GB2312" w:cs="仿宋_GB2312" w:eastAsia="仿宋_GB2312"/>
                <w:sz w:val="28"/>
                <w:b/>
              </w:rPr>
              <w:t>二</w:t>
            </w:r>
            <w:r>
              <w:rPr>
                <w:rFonts w:ascii="仿宋_GB2312" w:hAnsi="仿宋_GB2312" w:cs="仿宋_GB2312" w:eastAsia="仿宋_GB2312"/>
                <w:sz w:val="28"/>
                <w:b/>
              </w:rPr>
              <w:t>、服务要求</w:t>
            </w:r>
          </w:p>
          <w:p>
            <w:pPr>
              <w:pStyle w:val="null3"/>
              <w:ind w:firstLine="480"/>
              <w:jc w:val="both"/>
            </w:pPr>
            <w:r>
              <w:rPr>
                <w:rFonts w:ascii="仿宋_GB2312" w:hAnsi="仿宋_GB2312" w:cs="仿宋_GB2312" w:eastAsia="仿宋_GB2312"/>
                <w:sz w:val="24"/>
              </w:rPr>
              <w:t>依据中华人民共和国国家标准《房产测量规范》</w:t>
            </w:r>
            <w:r>
              <w:rPr>
                <w:rFonts w:ascii="仿宋_GB2312" w:hAnsi="仿宋_GB2312" w:cs="仿宋_GB2312" w:eastAsia="仿宋_GB2312"/>
                <w:sz w:val="24"/>
              </w:rPr>
              <w:t>GB/T17986.1-2000、</w:t>
            </w:r>
            <w:r>
              <w:rPr>
                <w:rFonts w:ascii="仿宋_GB2312" w:hAnsi="仿宋_GB2312" w:cs="仿宋_GB2312" w:eastAsia="仿宋_GB2312"/>
                <w:sz w:val="24"/>
              </w:rPr>
              <w:t>《测绘成果质量检查与验收》</w:t>
            </w:r>
            <w:r>
              <w:rPr>
                <w:rFonts w:ascii="仿宋_GB2312" w:hAnsi="仿宋_GB2312" w:cs="仿宋_GB2312" w:eastAsia="仿宋_GB2312"/>
                <w:sz w:val="24"/>
              </w:rPr>
              <w:t>GB/T24356</w:t>
            </w:r>
            <w:r>
              <w:rPr>
                <w:rFonts w:ascii="仿宋_GB2312" w:hAnsi="仿宋_GB2312" w:cs="仿宋_GB2312" w:eastAsia="仿宋_GB2312"/>
                <w:sz w:val="24"/>
              </w:rPr>
              <w:t>及相关部门要求的文件、细则对陕西省计量科学研究院整体迁建项目进行入户分户测量。</w:t>
            </w:r>
          </w:p>
          <w:p>
            <w:pPr>
              <w:pStyle w:val="null3"/>
              <w:ind w:firstLine="480"/>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承包人按项目服务要求及特性，自行组织项目实施与管理，建立以项目负责人为核心的服务团队，实行项目负责人责任制，相关人员经过严格培训，能够胜任项目工作，保证项目顺利实施。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承包人根据项目特性，自行配置投入有利于完成本项目服务各类设施设备（包含但不限于专业设备、辅助设备、工具、软件等）。</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因采购人系行政单位，所有的付款均需财政部门审批，本合同履行期间，非因采购人故意拖延付款申请流程造成的逾期付款的，承包方对此予以谅解不得追究采购人的逾期付款责任。</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三个月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验收以合同、招标文件、投标文件、国家相应的标准、规范等为依据。符合合同要求。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合同签订生效后，乙方开始服务，经甲方使用部门验收合格后一次性支付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以最终签订合同为准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商务应答表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参与的供应商服务全部由符合政策要求的小微企业承接。</w:t>
            </w:r>
          </w:p>
        </w:tc>
        <w:tc>
          <w:tcPr>
            <w:tcW w:type="dxa" w:w="1661"/>
          </w:tcPr>
          <w:p>
            <w:pPr>
              <w:pStyle w:val="null3"/>
            </w:pPr>
            <w:r>
              <w:rPr>
                <w:rFonts w:ascii="仿宋_GB2312" w:hAnsi="仿宋_GB2312" w:cs="仿宋_GB2312" w:eastAsia="仿宋_GB2312"/>
              </w:rPr>
              <w:t>响应文件封面 中小企业声明函 残疾人福利性单位声明函 响应函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本项目的特定资格要求</w:t>
            </w:r>
          </w:p>
        </w:tc>
        <w:tc>
          <w:tcPr>
            <w:tcW w:type="dxa" w:w="3322"/>
          </w:tcPr>
          <w:p>
            <w:pPr>
              <w:pStyle w:val="null3"/>
            </w:pPr>
            <w:r>
              <w:rPr>
                <w:rFonts w:ascii="仿宋_GB2312" w:hAnsi="仿宋_GB2312" w:cs="仿宋_GB2312" w:eastAsia="仿宋_GB2312"/>
              </w:rPr>
              <w:t>（1）提供法人或者其他组织有效的营业执照、税务登记证、组织机构代码证（或统一社会信用代码的营业执照）证明文件；（2）法定代表人授权书及被授权人身份证复印件（法人参加只需提供身份证复印件）；（3）财务状况报告（二选一）：①供应商提供2023年度或2024年度任一年度经会计事务所或审计机构审计的完整的财务审计报告（成立时间至提供响应文件截止时间不足一年的可提供成立后任意时段的资产负债表）；②在磋商截止时间前三个月内其开户银行出具的资信证明（附开户许可证或基本账户存款信息）；（4）税收缴纳证明：提供2024年至今已缴纳的至少一个月的纳税证明或完税证明，依法免税的单位应提供相关证明材料；（5）社会保障资金缴纳证明：提供2024年度至今已缴存的至少一个月的社会保障资金缴存单据或社保机构开具的社会保险参保缴费情况证明，依法不需要缴纳社会保障资金的单位应提供相关证明材料；（6）供应商应在磋商截止日前未被列入失信被执行人、重大税收违法案件当事人名单、政府采购严重违法失信行为记录名单（处罚期限届满的除外）（以“信用中国”网站（www.creditchina.gov.cn）或中国政府采购网（www.ccgp.gov.cn）查询结果为准，提供网站截图（查询日期为从竞争性磋商文件发售之日起至磋商截止日前）并加盖供应商公章；（7）供应商应出具参加政府采购活动前3年内在经营活动中没有重大违法记录的书面声明；（8）本项目供应商应具有行政主管部门颁发的测绘乙级及以上资质(专业类别须包含工程测量、界线与不动产测绘专业)；（9）本项目负责人应具备测绘相关工程师及以上专业职称；（10）本项目供应商近三年有类似项目测绘业绩3个以上；（11）提供履行合同所必需的设备及专业技术能力的说明及承诺。注、本项目不接受联合体。</w:t>
            </w:r>
          </w:p>
        </w:tc>
        <w:tc>
          <w:tcPr>
            <w:tcW w:type="dxa" w:w="1661"/>
          </w:tcPr>
          <w:p>
            <w:pPr>
              <w:pStyle w:val="null3"/>
            </w:pPr>
            <w:r>
              <w:rPr>
                <w:rFonts w:ascii="仿宋_GB2312" w:hAnsi="仿宋_GB2312" w:cs="仿宋_GB2312" w:eastAsia="仿宋_GB2312"/>
              </w:rPr>
              <w:t>中小企业声明函 残疾人福利性单位声明函 拒绝政府采购领域商业贿赂承诺书.docx 商务应答表 供应商应提交的相关资格证明材料 响应函 监狱企业的证明文件 供应商关联承诺书.docx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投标文件签字盖章</w:t>
            </w:r>
          </w:p>
        </w:tc>
        <w:tc>
          <w:tcPr>
            <w:tcW w:type="dxa" w:w="3322"/>
          </w:tcPr>
          <w:p>
            <w:pPr>
              <w:pStyle w:val="null3"/>
            </w:pPr>
            <w:r>
              <w:rPr>
                <w:rFonts w:ascii="仿宋_GB2312" w:hAnsi="仿宋_GB2312" w:cs="仿宋_GB2312" w:eastAsia="仿宋_GB2312"/>
              </w:rPr>
              <w:t>符合磋商文件签字盖章的要求</w:t>
            </w:r>
          </w:p>
        </w:tc>
        <w:tc>
          <w:tcPr>
            <w:tcW w:type="dxa" w:w="1661"/>
          </w:tcPr>
          <w:p>
            <w:pPr>
              <w:pStyle w:val="null3"/>
            </w:pPr>
            <w:r>
              <w:rPr>
                <w:rFonts w:ascii="仿宋_GB2312" w:hAnsi="仿宋_GB2312" w:cs="仿宋_GB2312" w:eastAsia="仿宋_GB2312"/>
              </w:rPr>
              <w:t>响应文件封面 商务应答表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投标响应文件有效期</w:t>
            </w:r>
          </w:p>
        </w:tc>
        <w:tc>
          <w:tcPr>
            <w:tcW w:type="dxa" w:w="3322"/>
          </w:tcPr>
          <w:p>
            <w:pPr>
              <w:pStyle w:val="null3"/>
            </w:pPr>
            <w:r>
              <w:rPr>
                <w:rFonts w:ascii="仿宋_GB2312" w:hAnsi="仿宋_GB2312" w:cs="仿宋_GB2312" w:eastAsia="仿宋_GB2312"/>
              </w:rPr>
              <w:t>投标响应文件的有效期达到磋商文件要求</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合同主要条款</w:t>
            </w:r>
          </w:p>
        </w:tc>
        <w:tc>
          <w:tcPr>
            <w:tcW w:type="dxa" w:w="2492"/>
          </w:tcPr>
          <w:p>
            <w:pPr>
              <w:pStyle w:val="null3"/>
            </w:pPr>
            <w:r>
              <w:rPr>
                <w:rFonts w:ascii="仿宋_GB2312" w:hAnsi="仿宋_GB2312" w:cs="仿宋_GB2312" w:eastAsia="仿宋_GB2312"/>
              </w:rPr>
              <w:t>经过有效性和符合性审核合格的供应商，响应文件中对付款、服务期限、服务地点等方面进行响应说明，经评标委员会综合评比按响应程度赋0～4分。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本项目的实施方案</w:t>
            </w:r>
          </w:p>
        </w:tc>
        <w:tc>
          <w:tcPr>
            <w:tcW w:type="dxa" w:w="2492"/>
          </w:tcPr>
          <w:p>
            <w:pPr>
              <w:pStyle w:val="null3"/>
            </w:pPr>
            <w:r>
              <w:rPr>
                <w:rFonts w:ascii="仿宋_GB2312" w:hAnsi="仿宋_GB2312" w:cs="仿宋_GB2312" w:eastAsia="仿宋_GB2312"/>
              </w:rPr>
              <w:t>1.对本项目的重要性及必要性的理解。根据响应情况计0～5分 2.供应商提供详尽、完整的组织服务方案，满足要求，按其响应程度计0～5； 3.服务管理自查制度，按其响应程度计0～5分； 4.服务人员与采购人工作配合的保障措施，有详细的工作计划，按其响应程度计0～5分； 5. 工作进度计划及保障措施，根据响应情况计0～5分。 6.后续保障及措施，根据响应情况计0～5分。 7. 工作流程及要点，按其响应程度计0～5分。 8.工作人员协调能力优秀，按其响应程度计0～5分。 9. 对服务对象资料分类、业务属性、资料管理规范和资料整理要求有针对性的了解，按其响应程度计0～5分。</w:t>
            </w:r>
          </w:p>
        </w:tc>
        <w:tc>
          <w:tcPr>
            <w:tcW w:type="dxa" w:w="831"/>
          </w:tcPr>
          <w:p>
            <w:pPr>
              <w:pStyle w:val="null3"/>
              <w:jc w:val="right"/>
            </w:pPr>
            <w:r>
              <w:rPr>
                <w:rFonts w:ascii="仿宋_GB2312" w:hAnsi="仿宋_GB2312" w:cs="仿宋_GB2312" w:eastAsia="仿宋_GB2312"/>
              </w:rPr>
              <w:t>45.0000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其他承诺.docx</w:t>
            </w:r>
          </w:p>
          <w:p>
            <w:pPr>
              <w:pStyle w:val="null3"/>
            </w:pPr>
            <w:r>
              <w:rPr>
                <w:rFonts w:ascii="仿宋_GB2312" w:hAnsi="仿宋_GB2312" w:cs="仿宋_GB2312" w:eastAsia="仿宋_GB2312"/>
              </w:rPr>
              <w:t>技术文件.docx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提供近三年（2022年1月1日至今）同类项目业绩（以合同签订时间为准），业绩以合同扫描件（复印件）为依据。提供一个得基本分2分，满分6分。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同类项目业绩.docx</w:t>
            </w:r>
          </w:p>
        </w:tc>
      </w:tr>
      <w:tr>
        <w:tc>
          <w:tcPr>
            <w:tcW w:type="dxa" w:w="831"/>
            <w:vMerge/>
          </w:tcPr>
          <w:p/>
        </w:tc>
        <w:tc>
          <w:tcPr>
            <w:tcW w:type="dxa" w:w="1661"/>
          </w:tcPr>
          <w:p>
            <w:pPr>
              <w:pStyle w:val="null3"/>
            </w:pPr>
            <w:r>
              <w:rPr>
                <w:rFonts w:ascii="仿宋_GB2312" w:hAnsi="仿宋_GB2312" w:cs="仿宋_GB2312" w:eastAsia="仿宋_GB2312"/>
              </w:rPr>
              <w:t>服务质量保证</w:t>
            </w:r>
          </w:p>
        </w:tc>
        <w:tc>
          <w:tcPr>
            <w:tcW w:type="dxa" w:w="2492"/>
          </w:tcPr>
          <w:p>
            <w:pPr>
              <w:pStyle w:val="null3"/>
            </w:pPr>
            <w:r>
              <w:rPr>
                <w:rFonts w:ascii="仿宋_GB2312" w:hAnsi="仿宋_GB2312" w:cs="仿宋_GB2312" w:eastAsia="仿宋_GB2312"/>
              </w:rPr>
              <w:t>服务质量保证措施具有可行性、合理性，按其响应程度计0～5分。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服务质量保证.docx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1. 服务团队人员专业结构合理，流程熟悉等，具备处理复杂问题的能力。根据响应情况计0～5分。 2. 组织机构齐全，各项制度健全，责任分工明确，根据响应情况，赋0-5分。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1.具有完善的质量目标及具体可行的服务承诺，根据响应程度计0～5分。 2.根据采购人相关需求为其提出可行的创新、创优等合理化建议，根据响应情况，赋0-5分。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合理化建议.docx</w:t>
            </w:r>
          </w:p>
        </w:tc>
      </w:tr>
      <w:tr>
        <w:tc>
          <w:tcPr>
            <w:tcW w:type="dxa" w:w="831"/>
            <w:vMerge/>
          </w:tcPr>
          <w:p/>
        </w:tc>
        <w:tc>
          <w:tcPr>
            <w:tcW w:type="dxa" w:w="1661"/>
          </w:tcPr>
          <w:p>
            <w:pPr>
              <w:pStyle w:val="null3"/>
            </w:pPr>
            <w:r>
              <w:rPr>
                <w:rFonts w:ascii="仿宋_GB2312" w:hAnsi="仿宋_GB2312" w:cs="仿宋_GB2312" w:eastAsia="仿宋_GB2312"/>
              </w:rPr>
              <w:t>价格</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满足磋商文件要求且最后报价最低的供应商的价格为磋商基准价，其价格分为满分。其他供应商的价格分统一按照下列公式计算：磋商报价得分=（磋商基准价/最后磋商报价）×价格权值 符合磋商文件规定的小微企业、监狱企业、残疾人福利性单位优惠条件的供应商，价格给予10%的扣除，用扣除后的价格参与评审。</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详见附件：同类项目业绩.docx</w:t>
      </w:r>
    </w:p>
    <w:p>
      <w:pPr>
        <w:pStyle w:val="null3"/>
        <w:ind w:firstLine="960"/>
      </w:pPr>
      <w:r>
        <w:rPr>
          <w:rFonts w:ascii="仿宋_GB2312" w:hAnsi="仿宋_GB2312" w:cs="仿宋_GB2312" w:eastAsia="仿宋_GB2312"/>
        </w:rPr>
        <w:t>详见附件：服务质量保证.docx</w:t>
      </w:r>
    </w:p>
    <w:p>
      <w:pPr>
        <w:pStyle w:val="null3"/>
        <w:ind w:firstLine="960"/>
      </w:pPr>
      <w:r>
        <w:rPr>
          <w:rFonts w:ascii="仿宋_GB2312" w:hAnsi="仿宋_GB2312" w:cs="仿宋_GB2312" w:eastAsia="仿宋_GB2312"/>
        </w:rPr>
        <w:t>详见附件：供应商关联承诺书.docx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详见附件：其他承诺.docx</w:t>
      </w:r>
    </w:p>
    <w:p>
      <w:pPr>
        <w:pStyle w:val="null3"/>
        <w:ind w:firstLine="960"/>
      </w:pPr>
      <w:r>
        <w:rPr>
          <w:rFonts w:ascii="仿宋_GB2312" w:hAnsi="仿宋_GB2312" w:cs="仿宋_GB2312" w:eastAsia="仿宋_GB2312"/>
        </w:rPr>
        <w:t>详见附件：技术文件.docx</w:t>
      </w:r>
    </w:p>
    <w:p>
      <w:pPr>
        <w:pStyle w:val="null3"/>
        <w:ind w:firstLine="960"/>
      </w:pPr>
      <w:r>
        <w:rPr>
          <w:rFonts w:ascii="仿宋_GB2312" w:hAnsi="仿宋_GB2312" w:cs="仿宋_GB2312" w:eastAsia="仿宋_GB2312"/>
        </w:rPr>
        <w:t>详见附件：合理化建议.docx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