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版本号：YD2025-01120250514001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票务系统网络安全云存储项目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YD2025-011</w:t>
      </w:r>
      <w:r>
        <w:br/>
      </w:r>
      <w:r>
        <w:br/>
      </w:r>
      <w:r>
        <w:br/>
      </w:r>
    </w:p>
    <w:p>
      <w:pPr>
        <w:pStyle w:val="null3"/>
        <w:jc w:val="center"/>
        <w:outlineLvl w:val="2"/>
      </w:pPr>
      <w:r>
        <w:rPr>
          <w:rFonts w:ascii="仿宋_GB2312" w:hAnsi="仿宋_GB2312" w:cs="仿宋_GB2312" w:eastAsia="仿宋_GB2312"/>
          <w:sz w:val="28"/>
          <w:b/>
        </w:rPr>
        <w:t>秦始皇帝陵博物院</w:t>
      </w:r>
    </w:p>
    <w:p>
      <w:pPr>
        <w:pStyle w:val="null3"/>
        <w:jc w:val="center"/>
        <w:outlineLvl w:val="2"/>
      </w:pPr>
      <w:r>
        <w:rPr>
          <w:rFonts w:ascii="仿宋_GB2312" w:hAnsi="仿宋_GB2312" w:cs="仿宋_GB2312" w:eastAsia="仿宋_GB2312"/>
          <w:sz w:val="28"/>
          <w:b/>
        </w:rPr>
        <w:t>陕西云鼎项目管理有限责任公司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陕西云鼎项目管理有限责任公司</w:t>
      </w:r>
      <w:r>
        <w:rPr>
          <w:rFonts w:ascii="仿宋_GB2312" w:hAnsi="仿宋_GB2312" w:cs="仿宋_GB2312" w:eastAsia="仿宋_GB2312"/>
        </w:rPr>
        <w:t>（以下简称“代理机构”）受</w:t>
      </w:r>
      <w:r>
        <w:rPr>
          <w:rFonts w:ascii="仿宋_GB2312" w:hAnsi="仿宋_GB2312" w:cs="仿宋_GB2312" w:eastAsia="仿宋_GB2312"/>
        </w:rPr>
        <w:t>秦始皇帝陵博物院</w:t>
      </w:r>
      <w:r>
        <w:rPr>
          <w:rFonts w:ascii="仿宋_GB2312" w:hAnsi="仿宋_GB2312" w:cs="仿宋_GB2312" w:eastAsia="仿宋_GB2312"/>
        </w:rPr>
        <w:t>委托，拟对</w:t>
      </w:r>
      <w:r>
        <w:rPr>
          <w:rFonts w:ascii="仿宋_GB2312" w:hAnsi="仿宋_GB2312" w:cs="仿宋_GB2312" w:eastAsia="仿宋_GB2312"/>
        </w:rPr>
        <w:t>票务系统网络安全云存储项目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YD2025-011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票务系统网络安全云存储项目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了保障景区数据的安全，同时在景区数据机房出现故障时，保障业务系统的正常运行，通过互联网+云计算实现景区现有系统的应用级备份，即在云端数据中心再构建一套支撑系统、备用网络系统等部分。本次采购内容：云服务器、负载均衡、云数据库、云主机安全、云防火墙、互联网专线网络等1年期云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1、法定代表人直接参与磋商的，须出 具法定代表人证明（附法人身份证 复印件）；法定代表人授权代表参 与磋商的，须出具法人授权委托书 （附法人及授权代表身份证复印件)：法定代表人直接参与磋商的，须出具法定代表 人证明（附法人身份证复印件）；法定代表人 授权代表参与磋商的，须出具法人授权委托书 （附法人及授权代表身份证复印件）。供应商 需在项目电子化交易系统中按要求上传相应证明文件并进行电子签章。</w:t>
      </w:r>
    </w:p>
    <w:p>
      <w:pPr>
        <w:pStyle w:val="null3"/>
      </w:pPr>
      <w:r>
        <w:rPr>
          <w:rFonts w:ascii="仿宋_GB2312" w:hAnsi="仿宋_GB2312" w:cs="仿宋_GB2312" w:eastAsia="仿宋_GB2312"/>
        </w:rPr>
        <w:t>2、供应商须具有基础电信业务经营许可证或具有基础电信业务经营许可证的分支机构（备注：本项目仅允许具有基础电信业务经营许可证的本部或授权的一个分支机构参与投标。投标人若为分公司，须出具公司本部针对本项目的唯一授权书，总公司与分公司同时参与投标的，分公司投标无效）：供应商须具有基础电信业务经营许可证或具有基础电信业务经营许可证的分支机构。（备注：本项目仅允许具有基础电信业务经营许可证的本部或授权的一个分支机构参与投标。投标人若为分公司，须出具公司本部针对本项目的唯一授权书，总公司与分公司同时参与投标的，分公司投标无效）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秦始皇帝陵博物院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西安市临潼区秦陵街办</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秦始皇帝陵博物院刘媛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029-81399188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陕西云鼎项目管理有限责任公司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陕西省西安市碑林区陕西省西安市碑林区南二环西段21号华融国际商务大厦A座18层03室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古德隆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13759999744、13892888735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代理服务费收费标准：采购代理服务费参照国家计委关于印发《招标代理服务收费管理暂行办 法》的通知（计价格〔2002〕1980号）、《国家发展和改革委员会办公厅关于招标代理服务收费有关问题的通知》（发改办价格〔2003〕857号）标准收取。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秦始皇帝陵博物院</w:t>
      </w:r>
      <w:r>
        <w:rPr>
          <w:rFonts w:ascii="仿宋_GB2312" w:hAnsi="仿宋_GB2312" w:cs="仿宋_GB2312" w:eastAsia="仿宋_GB2312"/>
        </w:rPr>
        <w:t>和</w:t>
      </w:r>
      <w:r>
        <w:rPr>
          <w:rFonts w:ascii="仿宋_GB2312" w:hAnsi="仿宋_GB2312" w:cs="仿宋_GB2312" w:eastAsia="仿宋_GB2312"/>
        </w:rPr>
        <w:t>陕西云鼎项目管理有限责任公司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秦始皇帝陵博物院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陕西云鼎项目管理有限责任公司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秦始皇帝陵博物院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陕西云鼎项目管理有限责任公司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按磋商文件、响应文件及合同要求，按照《财政部关于进一步加强政府采购需求和履约验收管理的指导意见》(财库〔2016〕205号)的要求进行验收。 票务系统网络安全云存储项目考核由秦始皇帝陵博物院组织开展，定期进行考核（响应时间、服务满意度、系统中断的次数、中断的时长、人员驻场的考勤等）。具体考核方案以双方合同约定为准。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陕西云鼎项目管理有限责任公司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陕西云鼎项目管理有限责任公司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陕西云鼎项目管理有限责任公司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联系人：古德隆</w:t>
      </w:r>
    </w:p>
    <w:p>
      <w:pPr>
        <w:pStyle w:val="null3"/>
      </w:pPr>
      <w:r>
        <w:rPr>
          <w:rFonts w:ascii="仿宋_GB2312" w:hAnsi="仿宋_GB2312" w:cs="仿宋_GB2312" w:eastAsia="仿宋_GB2312"/>
        </w:rPr>
        <w:t>联系电话：13759999744</w:t>
      </w:r>
    </w:p>
    <w:p>
      <w:pPr>
        <w:pStyle w:val="null3"/>
      </w:pPr>
      <w:r>
        <w:rPr>
          <w:rFonts w:ascii="仿宋_GB2312" w:hAnsi="仿宋_GB2312" w:cs="仿宋_GB2312" w:eastAsia="仿宋_GB2312"/>
        </w:rPr>
        <w:t>地址：陕西省西安市碑林区南二环西段21号华融国际商务大厦A座18层C室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为了保障景区数据的安全，同时在景区数据机房出现故障时，保障业务系统的正常运行，通过互联网</w:t>
      </w:r>
      <w:r>
        <w:rPr>
          <w:rFonts w:ascii="仿宋_GB2312" w:hAnsi="仿宋_GB2312" w:cs="仿宋_GB2312" w:eastAsia="仿宋_GB2312"/>
        </w:rPr>
        <w:t>+云计算实现景区现有系统的应用级备份，即在云端数据中心再构建一套支撑系统、备用网络系统等部分。本次采购内容：</w:t>
      </w:r>
      <w:r>
        <w:rPr>
          <w:rFonts w:ascii="仿宋_GB2312" w:hAnsi="仿宋_GB2312" w:cs="仿宋_GB2312" w:eastAsia="仿宋_GB2312"/>
        </w:rPr>
        <w:t>云服务器、负载均衡、云数据库、云主机安全、云防火墙</w:t>
      </w:r>
      <w:r>
        <w:rPr>
          <w:rFonts w:ascii="仿宋_GB2312" w:hAnsi="仿宋_GB2312" w:cs="仿宋_GB2312" w:eastAsia="仿宋_GB2312"/>
        </w:rPr>
        <w:t>、</w:t>
      </w:r>
      <w:r>
        <w:rPr>
          <w:rFonts w:ascii="仿宋_GB2312" w:hAnsi="仿宋_GB2312" w:cs="仿宋_GB2312" w:eastAsia="仿宋_GB2312"/>
        </w:rPr>
        <w:t>互联网</w:t>
      </w:r>
      <w:r>
        <w:rPr>
          <w:rFonts w:ascii="仿宋_GB2312" w:hAnsi="仿宋_GB2312" w:cs="仿宋_GB2312" w:eastAsia="仿宋_GB2312"/>
        </w:rPr>
        <w:t>专线</w:t>
      </w:r>
      <w:r>
        <w:rPr>
          <w:rFonts w:ascii="仿宋_GB2312" w:hAnsi="仿宋_GB2312" w:cs="仿宋_GB2312" w:eastAsia="仿宋_GB2312"/>
        </w:rPr>
        <w:t>网络等</w:t>
      </w:r>
      <w:r>
        <w:rPr>
          <w:rFonts w:ascii="仿宋_GB2312" w:hAnsi="仿宋_GB2312" w:cs="仿宋_GB2312" w:eastAsia="仿宋_GB2312"/>
        </w:rPr>
        <w:t>1年期云服务。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票务系统网络安全云存储项目采购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标的名称：票务系统网络安全云存储项目采购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配置需求清单</w:t>
            </w:r>
          </w:p>
          <w:tbl>
            <w:tblPr>
              <w:tblInd w:type="dxa" w:w="120"/>
              <w:tblBorders>
                <w:top w:val="none" w:color="000000" w:sz="4"/>
                <w:left w:val="none" w:color="000000" w:sz="4"/>
                <w:bottom w:val="none" w:color="000000" w:sz="4"/>
                <w:right w:val="none" w:color="000000" w:sz="4"/>
                <w:insideH w:val="none"/>
                <w:insideV w:val="none"/>
              </w:tblBorders>
            </w:tblPr>
            <w:tblGrid>
              <w:gridCol w:w="536"/>
              <w:gridCol w:w="1305"/>
              <w:gridCol w:w="356"/>
              <w:gridCol w:w="356"/>
            </w:tblGrid>
            <w:tr>
              <w:tc>
                <w:tcPr>
                  <w:tcW w:type="dxa" w:w="53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0"/>
                      <w:b/>
                    </w:rPr>
                    <w:t>名称</w:t>
                  </w:r>
                </w:p>
              </w:tc>
              <w:tc>
                <w:tcPr>
                  <w:tcW w:type="dxa" w:w="130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0"/>
                      <w:b/>
                    </w:rPr>
                    <w:t>参数</w:t>
                  </w:r>
                </w:p>
              </w:tc>
              <w:tc>
                <w:tcPr>
                  <w:tcW w:type="dxa" w:w="35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0"/>
                      <w:b/>
                    </w:rPr>
                    <w:t>单位</w:t>
                  </w:r>
                </w:p>
              </w:tc>
              <w:tc>
                <w:tcPr>
                  <w:tcW w:type="dxa" w:w="35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0"/>
                      <w:b/>
                    </w:rPr>
                    <w:t>数量</w:t>
                  </w:r>
                </w:p>
              </w:tc>
            </w:tr>
            <w:tr>
              <w:tc>
                <w:tcPr>
                  <w:tcW w:type="dxa" w:w="5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0"/>
                    </w:rPr>
                    <w:t>云服务器</w:t>
                  </w:r>
                </w:p>
              </w:tc>
              <w:tc>
                <w:tcPr>
                  <w:tcW w:type="dxa" w:w="13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30"/>
                    </w:rPr>
                    <w:t>通用型</w:t>
                  </w:r>
                  <w:r>
                    <w:rPr>
                      <w:rFonts w:ascii="仿宋_GB2312" w:hAnsi="仿宋_GB2312" w:cs="仿宋_GB2312" w:eastAsia="仿宋_GB2312"/>
                      <w:sz w:val="30"/>
                    </w:rPr>
                    <w:t>32vCPUs 64GB 系统盘SSD云盘，120GB，1块 数据盘SSD云盘，1024GB，1块</w:t>
                  </w:r>
                </w:p>
                <w:p>
                  <w:pPr>
                    <w:pStyle w:val="null3"/>
                  </w:pPr>
                  <w:r>
                    <w:rPr>
                      <w:rFonts w:ascii="仿宋_GB2312" w:hAnsi="仿宋_GB2312" w:cs="仿宋_GB2312" w:eastAsia="仿宋_GB2312"/>
                      <w:sz w:val="30"/>
                    </w:rPr>
                    <w:t>绑定公网</w:t>
                  </w:r>
                  <w:r>
                    <w:rPr>
                      <w:rFonts w:ascii="仿宋_GB2312" w:hAnsi="仿宋_GB2312" w:cs="仿宋_GB2312" w:eastAsia="仿宋_GB2312"/>
                      <w:sz w:val="30"/>
                    </w:rPr>
                    <w:t xml:space="preserve">IP </w:t>
                  </w:r>
                  <w:r>
                    <w:rPr>
                      <w:rFonts w:ascii="仿宋_GB2312" w:hAnsi="仿宋_GB2312" w:cs="仿宋_GB2312" w:eastAsia="仿宋_GB2312"/>
                      <w:sz w:val="30"/>
                    </w:rPr>
                    <w:t>按固定带宽</w:t>
                  </w:r>
                  <w:r>
                    <w:rPr>
                      <w:rFonts w:ascii="仿宋_GB2312" w:hAnsi="仿宋_GB2312" w:cs="仿宋_GB2312" w:eastAsia="仿宋_GB2312"/>
                      <w:sz w:val="30"/>
                    </w:rPr>
                    <w:t>20Mbps</w:t>
                  </w:r>
                  <w:r>
                    <w:rPr>
                      <w:rFonts w:ascii="仿宋_GB2312" w:hAnsi="仿宋_GB2312" w:cs="仿宋_GB2312" w:eastAsia="仿宋_GB2312"/>
                      <w:sz w:val="30"/>
                    </w:rPr>
                    <w:t>。</w:t>
                  </w:r>
                </w:p>
              </w:tc>
              <w:tc>
                <w:tcPr>
                  <w:tcW w:type="dxa" w:w="3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0"/>
                    </w:rPr>
                    <w:t>台</w:t>
                  </w:r>
                </w:p>
              </w:tc>
              <w:tc>
                <w:tcPr>
                  <w:tcW w:type="dxa" w:w="3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10</w:t>
                  </w:r>
                </w:p>
              </w:tc>
            </w:tr>
            <w:tr>
              <w:tc>
                <w:tcPr>
                  <w:tcW w:type="dxa" w:w="5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0"/>
                    </w:rPr>
                    <w:t>对象存储服务</w:t>
                  </w:r>
                </w:p>
              </w:tc>
              <w:tc>
                <w:tcPr>
                  <w:tcW w:type="dxa" w:w="13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30"/>
                    </w:rPr>
                    <w:t>流量包</w:t>
                  </w:r>
                  <w:r>
                    <w:rPr>
                      <w:rFonts w:ascii="仿宋_GB2312" w:hAnsi="仿宋_GB2312" w:cs="仿宋_GB2312" w:eastAsia="仿宋_GB2312"/>
                      <w:sz w:val="30"/>
                    </w:rPr>
                    <w:t>: 8T</w:t>
                  </w:r>
                </w:p>
              </w:tc>
              <w:tc>
                <w:tcPr>
                  <w:tcW w:type="dxa" w:w="3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0"/>
                    </w:rPr>
                    <w:t>个</w:t>
                  </w:r>
                </w:p>
              </w:tc>
              <w:tc>
                <w:tcPr>
                  <w:tcW w:type="dxa" w:w="3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10</w:t>
                  </w:r>
                </w:p>
              </w:tc>
            </w:tr>
            <w:tr>
              <w:tc>
                <w:tcPr>
                  <w:tcW w:type="dxa" w:w="5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0"/>
                    </w:rPr>
                    <w:t>对象存储服务</w:t>
                  </w:r>
                </w:p>
              </w:tc>
              <w:tc>
                <w:tcPr>
                  <w:tcW w:type="dxa" w:w="13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30"/>
                    </w:rPr>
                    <w:t>存储包</w:t>
                  </w:r>
                  <w:r>
                    <w:rPr>
                      <w:rFonts w:ascii="仿宋_GB2312" w:hAnsi="仿宋_GB2312" w:cs="仿宋_GB2312" w:eastAsia="仿宋_GB2312"/>
                      <w:sz w:val="30"/>
                    </w:rPr>
                    <w:t>: 8T</w:t>
                  </w:r>
                </w:p>
              </w:tc>
              <w:tc>
                <w:tcPr>
                  <w:tcW w:type="dxa" w:w="3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0"/>
                    </w:rPr>
                    <w:t>个</w:t>
                  </w:r>
                </w:p>
              </w:tc>
              <w:tc>
                <w:tcPr>
                  <w:tcW w:type="dxa" w:w="3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w:t>
                  </w:r>
                </w:p>
              </w:tc>
            </w:tr>
            <w:tr>
              <w:tc>
                <w:tcPr>
                  <w:tcW w:type="dxa" w:w="5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0"/>
                    </w:rPr>
                    <w:t>负载均衡</w:t>
                  </w:r>
                </w:p>
              </w:tc>
              <w:tc>
                <w:tcPr>
                  <w:tcW w:type="dxa" w:w="13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0"/>
                    </w:rPr>
                    <w:t>支持</w:t>
                  </w:r>
                  <w:r>
                    <w:rPr>
                      <w:rFonts w:ascii="仿宋_GB2312" w:hAnsi="仿宋_GB2312" w:cs="仿宋_GB2312" w:eastAsia="仿宋_GB2312"/>
                      <w:sz w:val="30"/>
                    </w:rPr>
                    <w:t>50万并发/最大连接数</w:t>
                  </w:r>
                  <w:r>
                    <w:rPr>
                      <w:rFonts w:ascii="仿宋_GB2312" w:hAnsi="仿宋_GB2312" w:cs="仿宋_GB2312" w:eastAsia="仿宋_GB2312"/>
                      <w:sz w:val="30"/>
                    </w:rPr>
                    <w:t>；</w:t>
                  </w:r>
                </w:p>
                <w:p>
                  <w:pPr>
                    <w:pStyle w:val="null3"/>
                    <w:jc w:val="left"/>
                  </w:pPr>
                  <w:r>
                    <w:rPr>
                      <w:rFonts w:ascii="仿宋_GB2312" w:hAnsi="仿宋_GB2312" w:cs="仿宋_GB2312" w:eastAsia="仿宋_GB2312"/>
                      <w:sz w:val="30"/>
                    </w:rPr>
                    <w:t>带宽</w:t>
                  </w:r>
                  <w:r>
                    <w:rPr>
                      <w:rFonts w:ascii="仿宋_GB2312" w:hAnsi="仿宋_GB2312" w:cs="仿宋_GB2312" w:eastAsia="仿宋_GB2312"/>
                      <w:sz w:val="30"/>
                    </w:rPr>
                    <w:t>: 按流量付费</w:t>
                  </w:r>
                  <w:r>
                    <w:rPr>
                      <w:rFonts w:ascii="仿宋_GB2312" w:hAnsi="仿宋_GB2312" w:cs="仿宋_GB2312" w:eastAsia="仿宋_GB2312"/>
                      <w:sz w:val="30"/>
                    </w:rPr>
                    <w:t>。</w:t>
                  </w:r>
                </w:p>
              </w:tc>
              <w:tc>
                <w:tcPr>
                  <w:tcW w:type="dxa" w:w="3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0"/>
                    </w:rPr>
                    <w:t>个</w:t>
                  </w:r>
                </w:p>
              </w:tc>
              <w:tc>
                <w:tcPr>
                  <w:tcW w:type="dxa" w:w="3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w:t>
                  </w:r>
                </w:p>
              </w:tc>
            </w:tr>
            <w:tr>
              <w:tc>
                <w:tcPr>
                  <w:tcW w:type="dxa" w:w="5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0"/>
                    </w:rPr>
                    <w:t>NAT网关</w:t>
                  </w:r>
                </w:p>
              </w:tc>
              <w:tc>
                <w:tcPr>
                  <w:tcW w:type="dxa" w:w="13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0"/>
                    </w:rPr>
                    <w:t>SNAT最大连接数 200000</w:t>
                  </w:r>
                  <w:r>
                    <w:rPr>
                      <w:rFonts w:ascii="仿宋_GB2312" w:hAnsi="仿宋_GB2312" w:cs="仿宋_GB2312" w:eastAsia="仿宋_GB2312"/>
                      <w:sz w:val="30"/>
                    </w:rPr>
                    <w:t>；</w:t>
                  </w: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30"/>
                    </w:rPr>
                    <w:t>带宽</w:t>
                  </w:r>
                  <w:r>
                    <w:rPr>
                      <w:rFonts w:ascii="仿宋_GB2312" w:hAnsi="仿宋_GB2312" w:cs="仿宋_GB2312" w:eastAsia="仿宋_GB2312"/>
                      <w:sz w:val="30"/>
                    </w:rPr>
                    <w:t>20Gbit/s</w:t>
                  </w:r>
                  <w:r>
                    <w:rPr>
                      <w:rFonts w:ascii="仿宋_GB2312" w:hAnsi="仿宋_GB2312" w:cs="仿宋_GB2312" w:eastAsia="仿宋_GB2312"/>
                      <w:sz w:val="30"/>
                    </w:rPr>
                    <w:t>；</w:t>
                  </w: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30"/>
                    </w:rPr>
                    <w:t>每秒报文数</w:t>
                  </w:r>
                  <w:r>
                    <w:rPr>
                      <w:rFonts w:ascii="仿宋_GB2312" w:hAnsi="仿宋_GB2312" w:cs="仿宋_GB2312" w:eastAsia="仿宋_GB2312"/>
                      <w:sz w:val="30"/>
                    </w:rPr>
                    <w:t>(PPS) 2000000</w:t>
                  </w:r>
                  <w:r>
                    <w:rPr>
                      <w:rFonts w:ascii="仿宋_GB2312" w:hAnsi="仿宋_GB2312" w:cs="仿宋_GB2312" w:eastAsia="仿宋_GB2312"/>
                      <w:sz w:val="30"/>
                    </w:rPr>
                    <w:t>；</w:t>
                  </w: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30"/>
                    </w:rPr>
                    <w:t>每秒新建报文数</w:t>
                  </w:r>
                  <w:r>
                    <w:rPr>
                      <w:rFonts w:ascii="仿宋_GB2312" w:hAnsi="仿宋_GB2312" w:cs="仿宋_GB2312" w:eastAsia="仿宋_GB2312"/>
                      <w:sz w:val="30"/>
                    </w:rPr>
                    <w:t>(QPS)10000</w:t>
                  </w:r>
                  <w:r>
                    <w:rPr>
                      <w:rFonts w:ascii="仿宋_GB2312" w:hAnsi="仿宋_GB2312" w:cs="仿宋_GB2312" w:eastAsia="仿宋_GB2312"/>
                      <w:sz w:val="30"/>
                    </w:rPr>
                    <w:t>。</w:t>
                  </w:r>
                </w:p>
              </w:tc>
              <w:tc>
                <w:tcPr>
                  <w:tcW w:type="dxa" w:w="3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0"/>
                    </w:rPr>
                    <w:t>台</w:t>
                  </w:r>
                </w:p>
              </w:tc>
              <w:tc>
                <w:tcPr>
                  <w:tcW w:type="dxa" w:w="3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w:t>
                  </w:r>
                </w:p>
              </w:tc>
            </w:tr>
            <w:tr>
              <w:tc>
                <w:tcPr>
                  <w:tcW w:type="dxa" w:w="5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0"/>
                    </w:rPr>
                    <w:t>云原生内存数据库</w:t>
                  </w:r>
                </w:p>
              </w:tc>
              <w:tc>
                <w:tcPr>
                  <w:tcW w:type="dxa" w:w="13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30"/>
                    </w:rPr>
                    <w:t>版本：</w:t>
                  </w:r>
                  <w:r>
                    <w:rPr>
                      <w:rFonts w:ascii="仿宋_GB2312" w:hAnsi="仿宋_GB2312" w:cs="仿宋_GB2312" w:eastAsia="仿宋_GB2312"/>
                      <w:sz w:val="30"/>
                    </w:rPr>
                    <w:t>Redis 5.0 实例类型：主从</w:t>
                  </w:r>
                </w:p>
                <w:p>
                  <w:pPr>
                    <w:pStyle w:val="null3"/>
                  </w:pPr>
                  <w:r>
                    <w:rPr>
                      <w:rFonts w:ascii="仿宋_GB2312" w:hAnsi="仿宋_GB2312" w:cs="仿宋_GB2312" w:eastAsia="仿宋_GB2312"/>
                      <w:sz w:val="30"/>
                    </w:rPr>
                    <w:t>实例规格：</w:t>
                  </w:r>
                  <w:r>
                    <w:rPr>
                      <w:rFonts w:ascii="仿宋_GB2312" w:hAnsi="仿宋_GB2312" w:cs="仿宋_GB2312" w:eastAsia="仿宋_GB2312"/>
                      <w:sz w:val="30"/>
                    </w:rPr>
                    <w:t>8G-s1.laege8</w:t>
                  </w:r>
                </w:p>
              </w:tc>
              <w:tc>
                <w:tcPr>
                  <w:tcW w:type="dxa" w:w="3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0"/>
                    </w:rPr>
                    <w:t>套</w:t>
                  </w:r>
                </w:p>
              </w:tc>
              <w:tc>
                <w:tcPr>
                  <w:tcW w:type="dxa" w:w="3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w:t>
                  </w:r>
                </w:p>
              </w:tc>
            </w:tr>
            <w:tr>
              <w:tc>
                <w:tcPr>
                  <w:tcW w:type="dxa" w:w="5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0"/>
                    </w:rPr>
                    <w:t>云数据库</w:t>
                  </w:r>
                </w:p>
              </w:tc>
              <w:tc>
                <w:tcPr>
                  <w:tcW w:type="dxa" w:w="13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30"/>
                    </w:rPr>
                    <w:t>数据库类型：</w:t>
                  </w:r>
                  <w:r>
                    <w:rPr>
                      <w:rFonts w:ascii="仿宋_GB2312" w:hAnsi="仿宋_GB2312" w:cs="仿宋_GB2312" w:eastAsia="仿宋_GB2312"/>
                      <w:sz w:val="30"/>
                    </w:rPr>
                    <w:t>MySQL8.0 实例类型：主备 存储类型：SSD云盘</w:t>
                  </w:r>
                </w:p>
                <w:p>
                  <w:pPr>
                    <w:pStyle w:val="null3"/>
                  </w:pPr>
                  <w:r>
                    <w:rPr>
                      <w:rFonts w:ascii="仿宋_GB2312" w:hAnsi="仿宋_GB2312" w:cs="仿宋_GB2312" w:eastAsia="仿宋_GB2312"/>
                      <w:sz w:val="30"/>
                    </w:rPr>
                    <w:t>规格：</w:t>
                  </w:r>
                  <w:r>
                    <w:rPr>
                      <w:rFonts w:ascii="仿宋_GB2312" w:hAnsi="仿宋_GB2312" w:cs="仿宋_GB2312" w:eastAsia="仿宋_GB2312"/>
                      <w:sz w:val="30"/>
                    </w:rPr>
                    <w:t>8v32G 存储空间：1000G 不区分大小写</w:t>
                  </w:r>
                </w:p>
              </w:tc>
              <w:tc>
                <w:tcPr>
                  <w:tcW w:type="dxa" w:w="3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0"/>
                    </w:rPr>
                    <w:t>个</w:t>
                  </w:r>
                </w:p>
              </w:tc>
              <w:tc>
                <w:tcPr>
                  <w:tcW w:type="dxa" w:w="3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w:t>
                  </w:r>
                </w:p>
              </w:tc>
            </w:tr>
            <w:tr>
              <w:tc>
                <w:tcPr>
                  <w:tcW w:type="dxa" w:w="5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0"/>
                    </w:rPr>
                    <w:t>共享</w:t>
                  </w:r>
                </w:p>
                <w:p>
                  <w:pPr>
                    <w:pStyle w:val="null3"/>
                    <w:jc w:val="center"/>
                  </w:pPr>
                  <w:r>
                    <w:rPr>
                      <w:rFonts w:ascii="仿宋_GB2312" w:hAnsi="仿宋_GB2312" w:cs="仿宋_GB2312" w:eastAsia="仿宋_GB2312"/>
                      <w:sz w:val="30"/>
                    </w:rPr>
                    <w:t>流量包</w:t>
                  </w:r>
                </w:p>
              </w:tc>
              <w:tc>
                <w:tcPr>
                  <w:tcW w:type="dxa" w:w="13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30"/>
                    </w:rPr>
                    <w:t>套餐有效期：</w:t>
                  </w:r>
                  <w:r>
                    <w:rPr>
                      <w:rFonts w:ascii="仿宋_GB2312" w:hAnsi="仿宋_GB2312" w:cs="仿宋_GB2312" w:eastAsia="仿宋_GB2312"/>
                      <w:sz w:val="30"/>
                    </w:rPr>
                    <w:t>1年 规格：8TB</w:t>
                  </w:r>
                </w:p>
              </w:tc>
              <w:tc>
                <w:tcPr>
                  <w:tcW w:type="dxa" w:w="3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0"/>
                    </w:rPr>
                    <w:t>个</w:t>
                  </w:r>
                </w:p>
              </w:tc>
              <w:tc>
                <w:tcPr>
                  <w:tcW w:type="dxa" w:w="3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0"/>
                    </w:rPr>
                    <w:t>20</w:t>
                  </w:r>
                </w:p>
              </w:tc>
            </w:tr>
            <w:tr>
              <w:tc>
                <w:tcPr>
                  <w:tcW w:type="dxa" w:w="5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0"/>
                    </w:rPr>
                    <w:t>云主机</w:t>
                  </w:r>
                </w:p>
                <w:p>
                  <w:pPr>
                    <w:pStyle w:val="null3"/>
                    <w:jc w:val="center"/>
                  </w:pPr>
                  <w:r>
                    <w:rPr>
                      <w:rFonts w:ascii="仿宋_GB2312" w:hAnsi="仿宋_GB2312" w:cs="仿宋_GB2312" w:eastAsia="仿宋_GB2312"/>
                      <w:sz w:val="30"/>
                    </w:rPr>
                    <w:t>安全</w:t>
                  </w:r>
                </w:p>
              </w:tc>
              <w:tc>
                <w:tcPr>
                  <w:tcW w:type="dxa" w:w="13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30"/>
                    </w:rPr>
                    <w:t>防恶意软件、防火墙、入侵防御</w:t>
                  </w:r>
                  <w:r>
                    <w:rPr>
                      <w:rFonts w:ascii="仿宋_GB2312" w:hAnsi="仿宋_GB2312" w:cs="仿宋_GB2312" w:eastAsia="仿宋_GB2312"/>
                      <w:sz w:val="30"/>
                    </w:rPr>
                    <w:t>IPS、防暴力破解、webshell扫描、安全基线、威胁情报IOC、应用程序控制、完整性监控、网络可视化</w:t>
                  </w:r>
                  <w:r>
                    <w:rPr>
                      <w:rFonts w:ascii="仿宋_GB2312" w:hAnsi="仿宋_GB2312" w:cs="仿宋_GB2312" w:eastAsia="仿宋_GB2312"/>
                      <w:sz w:val="30"/>
                    </w:rPr>
                    <w:t>。</w:t>
                  </w:r>
                </w:p>
              </w:tc>
              <w:tc>
                <w:tcPr>
                  <w:tcW w:type="dxa" w:w="3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0"/>
                    </w:rPr>
                    <w:t>个</w:t>
                  </w:r>
                </w:p>
              </w:tc>
              <w:tc>
                <w:tcPr>
                  <w:tcW w:type="dxa" w:w="3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w:t>
                  </w:r>
                </w:p>
              </w:tc>
            </w:tr>
            <w:tr>
              <w:tc>
                <w:tcPr>
                  <w:tcW w:type="dxa" w:w="5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0"/>
                    </w:rPr>
                    <w:t>云数据</w:t>
                  </w:r>
                </w:p>
                <w:p>
                  <w:pPr>
                    <w:pStyle w:val="null3"/>
                    <w:jc w:val="center"/>
                  </w:pPr>
                  <w:r>
                    <w:rPr>
                      <w:rFonts w:ascii="仿宋_GB2312" w:hAnsi="仿宋_GB2312" w:cs="仿宋_GB2312" w:eastAsia="仿宋_GB2312"/>
                      <w:sz w:val="30"/>
                    </w:rPr>
                    <w:t>库审计</w:t>
                  </w:r>
                </w:p>
              </w:tc>
              <w:tc>
                <w:tcPr>
                  <w:tcW w:type="dxa" w:w="13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0"/>
                    </w:rPr>
                    <w:t>1、传统数据库、网络协议和中间件审计功能</w:t>
                  </w:r>
                </w:p>
                <w:p>
                  <w:pPr>
                    <w:pStyle w:val="null3"/>
                    <w:jc w:val="left"/>
                  </w:pPr>
                  <w:r>
                    <w:rPr>
                      <w:rFonts w:ascii="仿宋_GB2312" w:hAnsi="仿宋_GB2312" w:cs="仿宋_GB2312" w:eastAsia="仿宋_GB2312"/>
                      <w:sz w:val="30"/>
                    </w:rPr>
                    <w:t>支持</w:t>
                  </w:r>
                  <w:r>
                    <w:rPr>
                      <w:rFonts w:ascii="仿宋_GB2312" w:hAnsi="仿宋_GB2312" w:cs="仿宋_GB2312" w:eastAsia="仿宋_GB2312"/>
                      <w:sz w:val="30"/>
                    </w:rPr>
                    <w:t>Oracle、SQL-Server、DB2、Informix、Sybase、MySQL、PostgreSQL、Cache、Samba、OpenGauss、达梦、人大金仓等主流数据库的审计。</w:t>
                  </w:r>
                </w:p>
                <w:p>
                  <w:pPr>
                    <w:pStyle w:val="null3"/>
                    <w:jc w:val="left"/>
                  </w:pPr>
                  <w:r>
                    <w:rPr>
                      <w:rFonts w:ascii="仿宋_GB2312" w:hAnsi="仿宋_GB2312" w:cs="仿宋_GB2312" w:eastAsia="仿宋_GB2312"/>
                      <w:sz w:val="30"/>
                    </w:rPr>
                    <w:t>支持</w:t>
                  </w:r>
                  <w:r>
                    <w:rPr>
                      <w:rFonts w:ascii="仿宋_GB2312" w:hAnsi="仿宋_GB2312" w:cs="仿宋_GB2312" w:eastAsia="仿宋_GB2312"/>
                      <w:sz w:val="30"/>
                    </w:rPr>
                    <w:t>Telnet、FTP、HTTP、POP3、SMTP、NFS等协议审计。</w:t>
                  </w:r>
                </w:p>
                <w:p>
                  <w:pPr>
                    <w:pStyle w:val="null3"/>
                    <w:jc w:val="left"/>
                  </w:pPr>
                  <w:r>
                    <w:rPr>
                      <w:rFonts w:ascii="仿宋_GB2312" w:hAnsi="仿宋_GB2312" w:cs="仿宋_GB2312" w:eastAsia="仿宋_GB2312"/>
                      <w:sz w:val="30"/>
                    </w:rPr>
                    <w:t>支持</w:t>
                  </w:r>
                  <w:r>
                    <w:rPr>
                      <w:rFonts w:ascii="仿宋_GB2312" w:hAnsi="仿宋_GB2312" w:cs="仿宋_GB2312" w:eastAsia="仿宋_GB2312"/>
                      <w:sz w:val="30"/>
                    </w:rPr>
                    <w:t>COM、COM+、DCOM组件的三层架构应用审计。</w:t>
                  </w:r>
                </w:p>
                <w:p>
                  <w:pPr>
                    <w:pStyle w:val="null3"/>
                    <w:jc w:val="left"/>
                  </w:pPr>
                  <w:r>
                    <w:rPr>
                      <w:rFonts w:ascii="仿宋_GB2312" w:hAnsi="仿宋_GB2312" w:cs="仿宋_GB2312" w:eastAsia="仿宋_GB2312"/>
                      <w:sz w:val="30"/>
                    </w:rPr>
                    <w:t>2、规则策略</w:t>
                  </w:r>
                </w:p>
                <w:p>
                  <w:pPr>
                    <w:pStyle w:val="null3"/>
                    <w:jc w:val="left"/>
                  </w:pPr>
                  <w:r>
                    <w:rPr>
                      <w:rFonts w:ascii="仿宋_GB2312" w:hAnsi="仿宋_GB2312" w:cs="仿宋_GB2312" w:eastAsia="仿宋_GB2312"/>
                      <w:sz w:val="30"/>
                    </w:rPr>
                    <w:t>预定义有安全规则，同时也要有灵活的自定义规则配置功能。</w:t>
                  </w:r>
                </w:p>
                <w:p>
                  <w:pPr>
                    <w:pStyle w:val="null3"/>
                    <w:jc w:val="left"/>
                  </w:pPr>
                  <w:r>
                    <w:rPr>
                      <w:rFonts w:ascii="仿宋_GB2312" w:hAnsi="仿宋_GB2312" w:cs="仿宋_GB2312" w:eastAsia="仿宋_GB2312"/>
                      <w:sz w:val="30"/>
                    </w:rPr>
                    <w:t>组合审计规则和重复操作的统计审计规则功能。</w:t>
                  </w:r>
                </w:p>
                <w:p>
                  <w:pPr>
                    <w:pStyle w:val="null3"/>
                    <w:jc w:val="left"/>
                  </w:pPr>
                  <w:r>
                    <w:rPr>
                      <w:rFonts w:ascii="仿宋_GB2312" w:hAnsi="仿宋_GB2312" w:cs="仿宋_GB2312" w:eastAsia="仿宋_GB2312"/>
                      <w:sz w:val="30"/>
                    </w:rPr>
                    <w:t>多级关联跨表跨字段的组合规则。</w:t>
                  </w:r>
                </w:p>
                <w:p>
                  <w:pPr>
                    <w:pStyle w:val="null3"/>
                    <w:jc w:val="left"/>
                  </w:pPr>
                  <w:r>
                    <w:rPr>
                      <w:rFonts w:ascii="仿宋_GB2312" w:hAnsi="仿宋_GB2312" w:cs="仿宋_GB2312" w:eastAsia="仿宋_GB2312"/>
                      <w:sz w:val="30"/>
                    </w:rPr>
                    <w:t>3、常用功能</w:t>
                  </w:r>
                </w:p>
                <w:p>
                  <w:pPr>
                    <w:pStyle w:val="null3"/>
                    <w:jc w:val="left"/>
                  </w:pPr>
                  <w:r>
                    <w:rPr>
                      <w:rFonts w:ascii="仿宋_GB2312" w:hAnsi="仿宋_GB2312" w:cs="仿宋_GB2312" w:eastAsia="仿宋_GB2312"/>
                      <w:sz w:val="30"/>
                    </w:rPr>
                    <w:t>支持回放功能、翻译功能、连接监控与审计、告警响应、日志导出、报表功能等。</w:t>
                  </w:r>
                </w:p>
              </w:tc>
              <w:tc>
                <w:tcPr>
                  <w:tcW w:type="dxa" w:w="3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0"/>
                    </w:rPr>
                    <w:t>个</w:t>
                  </w:r>
                </w:p>
              </w:tc>
              <w:tc>
                <w:tcPr>
                  <w:tcW w:type="dxa" w:w="3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w:t>
                  </w:r>
                </w:p>
              </w:tc>
            </w:tr>
            <w:tr>
              <w:tc>
                <w:tcPr>
                  <w:tcW w:type="dxa" w:w="5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0"/>
                    </w:rPr>
                    <w:t>云</w:t>
                  </w:r>
                  <w:r>
                    <w:rPr>
                      <w:rFonts w:ascii="仿宋_GB2312" w:hAnsi="仿宋_GB2312" w:cs="仿宋_GB2312" w:eastAsia="仿宋_GB2312"/>
                      <w:sz w:val="30"/>
                    </w:rPr>
                    <w:t>Web应用防火墙</w:t>
                  </w:r>
                </w:p>
              </w:tc>
              <w:tc>
                <w:tcPr>
                  <w:tcW w:type="dxa" w:w="13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30"/>
                    </w:rPr>
                    <w:t>1、提供Web攻击防护;包含SQL注入、跨站攻击、伪造请求攻击、后门植入、上传漏洞攻击、路径遍历等Web漏洞攻击防护能力；</w:t>
                  </w:r>
                </w:p>
                <w:p>
                  <w:pPr>
                    <w:pStyle w:val="null3"/>
                  </w:pPr>
                  <w:r>
                    <w:rPr>
                      <w:rFonts w:ascii="仿宋_GB2312" w:hAnsi="仿宋_GB2312" w:cs="仿宋_GB2312" w:eastAsia="仿宋_GB2312"/>
                      <w:sz w:val="30"/>
                    </w:rPr>
                    <w:t>2、无需改造现有架构，即可快速让现有IPv4业务系统具备IPv6终端和用户访问和防护能力。（需客户本地DNS支持4A解析）；</w:t>
                  </w:r>
                </w:p>
                <w:p>
                  <w:pPr>
                    <w:pStyle w:val="null3"/>
                  </w:pPr>
                  <w:r>
                    <w:rPr>
                      <w:rFonts w:ascii="仿宋_GB2312" w:hAnsi="仿宋_GB2312" w:cs="仿宋_GB2312" w:eastAsia="仿宋_GB2312"/>
                      <w:sz w:val="30"/>
                    </w:rPr>
                    <w:t>3、支持2Gbps DDoS攻击共享型防护，包括：SYN Flood、ACK Flood、UDP Flood等；</w:t>
                  </w:r>
                </w:p>
                <w:p>
                  <w:pPr>
                    <w:pStyle w:val="null3"/>
                  </w:pPr>
                  <w:r>
                    <w:rPr>
                      <w:rFonts w:ascii="仿宋_GB2312" w:hAnsi="仿宋_GB2312" w:cs="仿宋_GB2312" w:eastAsia="仿宋_GB2312"/>
                      <w:sz w:val="30"/>
                    </w:rPr>
                    <w:t>4、支持网站缓存加速能力；</w:t>
                  </w:r>
                </w:p>
                <w:p>
                  <w:pPr>
                    <w:pStyle w:val="null3"/>
                  </w:pPr>
                  <w:r>
                    <w:rPr>
                      <w:rFonts w:ascii="仿宋_GB2312" w:hAnsi="仿宋_GB2312" w:cs="仿宋_GB2312" w:eastAsia="仿宋_GB2312"/>
                      <w:sz w:val="30"/>
                    </w:rPr>
                    <w:t>5、提供扫描防护：封禁高频Web攻击IP、恶意目录遍历高频IP，针对常见扫描工具和恶意扫描IP库进行访问控制；</w:t>
                  </w:r>
                </w:p>
                <w:p>
                  <w:pPr>
                    <w:pStyle w:val="null3"/>
                  </w:pPr>
                  <w:r>
                    <w:rPr>
                      <w:rFonts w:ascii="仿宋_GB2312" w:hAnsi="仿宋_GB2312" w:cs="仿宋_GB2312" w:eastAsia="仿宋_GB2312"/>
                      <w:sz w:val="30"/>
                    </w:rPr>
                    <w:t xml:space="preserve">6、支持非标准端口配置；                 </w:t>
                  </w:r>
                </w:p>
                <w:p>
                  <w:pPr>
                    <w:pStyle w:val="null3"/>
                  </w:pPr>
                  <w:r>
                    <w:rPr>
                      <w:rFonts w:ascii="仿宋_GB2312" w:hAnsi="仿宋_GB2312" w:cs="仿宋_GB2312" w:eastAsia="仿宋_GB2312"/>
                      <w:sz w:val="30"/>
                    </w:rPr>
                    <w:t>7、正常业务流量：600GB;正常业务请求并发：1000QPS；</w:t>
                  </w:r>
                </w:p>
                <w:p>
                  <w:pPr>
                    <w:pStyle w:val="null3"/>
                  </w:pPr>
                  <w:r>
                    <w:rPr>
                      <w:rFonts w:ascii="仿宋_GB2312" w:hAnsi="仿宋_GB2312" w:cs="仿宋_GB2312" w:eastAsia="仿宋_GB2312"/>
                      <w:sz w:val="30"/>
                    </w:rPr>
                    <w:t>8、 支持在响应头部中选择开启补充相关的安全头部，避免因安全头部缺失产生安全漏洞；</w:t>
                  </w:r>
                </w:p>
                <w:p>
                  <w:pPr>
                    <w:pStyle w:val="null3"/>
                  </w:pPr>
                  <w:r>
                    <w:rPr>
                      <w:rFonts w:ascii="仿宋_GB2312" w:hAnsi="仿宋_GB2312" w:cs="仿宋_GB2312" w:eastAsia="仿宋_GB2312"/>
                      <w:sz w:val="30"/>
                    </w:rPr>
                    <w:t>9、对不同国家和中国的不同省市能否访问保护网站进行访问控制，并能够基于IP地址添加例外访问黑白名单；</w:t>
                  </w:r>
                </w:p>
                <w:p>
                  <w:pPr>
                    <w:pStyle w:val="null3"/>
                  </w:pPr>
                  <w:r>
                    <w:rPr>
                      <w:rFonts w:ascii="仿宋_GB2312" w:hAnsi="仿宋_GB2312" w:cs="仿宋_GB2312" w:eastAsia="仿宋_GB2312"/>
                      <w:sz w:val="30"/>
                    </w:rPr>
                    <w:t>10、对在特定时间段内某IP地址或IP地址段是否能够访问特定URL进行访问控制，对包含特定的 USER-Agent字段内容的访问进行访问控制；</w:t>
                  </w:r>
                </w:p>
                <w:p>
                  <w:pPr>
                    <w:pStyle w:val="null3"/>
                  </w:pPr>
                  <w:r>
                    <w:rPr>
                      <w:rFonts w:ascii="仿宋_GB2312" w:hAnsi="仿宋_GB2312" w:cs="仿宋_GB2312" w:eastAsia="仿宋_GB2312"/>
                      <w:sz w:val="30"/>
                    </w:rPr>
                    <w:t>11、支持自定义时间段的报表查询和导出功能，能直观的显示自定义时间段内网站业务流量统计及遭受的各类攻击情况的可视化统计；</w:t>
                  </w:r>
                </w:p>
                <w:p>
                  <w:pPr>
                    <w:pStyle w:val="null3"/>
                  </w:pPr>
                  <w:r>
                    <w:rPr>
                      <w:rFonts w:ascii="仿宋_GB2312" w:hAnsi="仿宋_GB2312" w:cs="仿宋_GB2312" w:eastAsia="仿宋_GB2312"/>
                      <w:sz w:val="30"/>
                    </w:rPr>
                    <w:t>12、支持安全池WAF组件及云WAF服务的切换，可根据实际业务需求，选择启用安全池WAF组件或云WAF服务；</w:t>
                  </w:r>
                </w:p>
              </w:tc>
              <w:tc>
                <w:tcPr>
                  <w:tcW w:type="dxa" w:w="3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0"/>
                    </w:rPr>
                    <w:t>个</w:t>
                  </w:r>
                </w:p>
              </w:tc>
              <w:tc>
                <w:tcPr>
                  <w:tcW w:type="dxa" w:w="3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w:t>
                  </w:r>
                </w:p>
              </w:tc>
            </w:tr>
            <w:tr>
              <w:tc>
                <w:tcPr>
                  <w:tcW w:type="dxa" w:w="5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0"/>
                    </w:rPr>
                    <w:t>云防火墙</w:t>
                  </w:r>
                </w:p>
              </w:tc>
              <w:tc>
                <w:tcPr>
                  <w:tcW w:type="dxa" w:w="13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30"/>
                    </w:rPr>
                    <w:t>1、针对面向互联网的云资产提供细粒度流量管控，包括基于服务、应用、地域、时间等访问控制；</w:t>
                  </w:r>
                </w:p>
                <w:p>
                  <w:pPr>
                    <w:pStyle w:val="null3"/>
                  </w:pPr>
                  <w:r>
                    <w:rPr>
                      <w:rFonts w:ascii="仿宋_GB2312" w:hAnsi="仿宋_GB2312" w:cs="仿宋_GB2312" w:eastAsia="仿宋_GB2312"/>
                      <w:sz w:val="30"/>
                    </w:rPr>
                    <w:t>2、支持业务全流量分析，包括出入互联网异常流量等；</w:t>
                  </w:r>
                </w:p>
                <w:p>
                  <w:pPr>
                    <w:pStyle w:val="null3"/>
                  </w:pPr>
                  <w:r>
                    <w:rPr>
                      <w:rFonts w:ascii="仿宋_GB2312" w:hAnsi="仿宋_GB2312" w:cs="仿宋_GB2312" w:eastAsia="仿宋_GB2312"/>
                      <w:sz w:val="30"/>
                    </w:rPr>
                    <w:t>3、支持网络攻击防护，包括Flood攻击、恶意扫描、欺骗防护、异常包攻击、威胁情报等；</w:t>
                  </w:r>
                </w:p>
                <w:p>
                  <w:pPr>
                    <w:pStyle w:val="null3"/>
                  </w:pPr>
                  <w:r>
                    <w:rPr>
                      <w:rFonts w:ascii="仿宋_GB2312" w:hAnsi="仿宋_GB2312" w:cs="仿宋_GB2312" w:eastAsia="仿宋_GB2312"/>
                      <w:sz w:val="30"/>
                    </w:rPr>
                    <w:t>4、支持安全可视化管理，包括统计网络中存在安全风险的主机数量以及威胁事件，可自定义重点关注URL和应用相关的威胁统计等；</w:t>
                  </w:r>
                </w:p>
                <w:p>
                  <w:pPr>
                    <w:pStyle w:val="null3"/>
                  </w:pPr>
                  <w:r>
                    <w:rPr>
                      <w:rFonts w:ascii="仿宋_GB2312" w:hAnsi="仿宋_GB2312" w:cs="仿宋_GB2312" w:eastAsia="仿宋_GB2312"/>
                      <w:sz w:val="30"/>
                    </w:rPr>
                    <w:t>5、支持网络入侵防御，包括Web攻击防护、数据库攻击防护、邮件服务防护和反病毒、防间谍软件等能力；</w:t>
                  </w:r>
                </w:p>
                <w:p>
                  <w:pPr>
                    <w:pStyle w:val="null3"/>
                  </w:pPr>
                  <w:r>
                    <w:rPr>
                      <w:rFonts w:ascii="仿宋_GB2312" w:hAnsi="仿宋_GB2312" w:cs="仿宋_GB2312" w:eastAsia="仿宋_GB2312"/>
                      <w:sz w:val="30"/>
                    </w:rPr>
                    <w:t>6、支持云租户通过IPSec VPN以及SSL VPN方式轻松实现云上安全运营；</w:t>
                  </w:r>
                </w:p>
                <w:p>
                  <w:pPr>
                    <w:pStyle w:val="null3"/>
                  </w:pPr>
                  <w:r>
                    <w:rPr>
                      <w:rFonts w:ascii="仿宋_GB2312" w:hAnsi="仿宋_GB2312" w:cs="仿宋_GB2312" w:eastAsia="仿宋_GB2312"/>
                      <w:sz w:val="30"/>
                    </w:rPr>
                    <w:t>7、最大公网流量处理能力1Gbps。</w:t>
                  </w:r>
                </w:p>
              </w:tc>
              <w:tc>
                <w:tcPr>
                  <w:tcW w:type="dxa" w:w="3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0"/>
                    </w:rPr>
                    <w:t>个</w:t>
                  </w:r>
                </w:p>
              </w:tc>
              <w:tc>
                <w:tcPr>
                  <w:tcW w:type="dxa" w:w="3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w:t>
                  </w:r>
                </w:p>
              </w:tc>
            </w:tr>
            <w:tr>
              <w:tc>
                <w:tcPr>
                  <w:tcW w:type="dxa" w:w="5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0"/>
                    </w:rPr>
                    <w:t>互联网</w:t>
                  </w:r>
                </w:p>
                <w:p>
                  <w:pPr>
                    <w:pStyle w:val="null3"/>
                    <w:jc w:val="center"/>
                  </w:pPr>
                  <w:r>
                    <w:rPr>
                      <w:rFonts w:ascii="仿宋_GB2312" w:hAnsi="仿宋_GB2312" w:cs="仿宋_GB2312" w:eastAsia="仿宋_GB2312"/>
                      <w:sz w:val="30"/>
                    </w:rPr>
                    <w:t>专线</w:t>
                  </w:r>
                </w:p>
              </w:tc>
              <w:tc>
                <w:tcPr>
                  <w:tcW w:type="dxa" w:w="13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30"/>
                    </w:rPr>
                    <w:t>100M</w:t>
                  </w:r>
                  <w:r>
                    <w:rPr>
                      <w:rFonts w:ascii="仿宋_GB2312" w:hAnsi="仿宋_GB2312" w:cs="仿宋_GB2312" w:eastAsia="仿宋_GB2312"/>
                      <w:sz w:val="30"/>
                    </w:rPr>
                    <w:t>（</w:t>
                  </w:r>
                  <w:r>
                    <w:rPr>
                      <w:rFonts w:ascii="仿宋_GB2312" w:hAnsi="仿宋_GB2312" w:cs="仿宋_GB2312" w:eastAsia="仿宋_GB2312"/>
                      <w:sz w:val="30"/>
                    </w:rPr>
                    <w:t>一年</w:t>
                  </w:r>
                  <w:r>
                    <w:rPr>
                      <w:rFonts w:ascii="仿宋_GB2312" w:hAnsi="仿宋_GB2312" w:cs="仿宋_GB2312" w:eastAsia="仿宋_GB2312"/>
                      <w:sz w:val="30"/>
                    </w:rPr>
                    <w:t>）</w:t>
                  </w:r>
                </w:p>
              </w:tc>
              <w:tc>
                <w:tcPr>
                  <w:tcW w:type="dxa" w:w="3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条</w:t>
                  </w:r>
                </w:p>
              </w:tc>
              <w:tc>
                <w:tcPr>
                  <w:tcW w:type="dxa" w:w="3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1、服务期：一年。 2、服务要求： 2.1在服务期内，若系统出现故障，成交供应商在接到采购人通知后10分钟内响应，40分钟内处理解决问题，48小时内提供书面的故障分析报告及防范措施。 2.2培训措施：成交供应商须针对设备日常操作、设备日常维护、常见故障排除等技能提供上门培训，并根据采购人要求的时间、地点和培训人数进行培训，确保使用单位操作人员、管理人员能使用、管理和维护设备。 3、质量要求：乙方保证本合同所供产品为符合采购人需求的系统，质量符合国家或相关行业标准，产品取得国家相关质量认证。</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工期：30天；服务期限：1年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按磋商文件、响应文件及合同要求，按照《财政部关于进一步加强政府采购需求和履约验收管理的指导意见》(财库〔2016〕205号)的要求进行验收。 票务系统网络安全云存储项目考核由秦始皇帝陵博物院组织开展，定期进行考核（响应时间、服务满意度、系统中断的次数、中断的时长、人员驻场的考勤等）。具体考核方案以双方合同约定为准。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项目启动支付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六个月后支付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项目结束支付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成交供应商应在成交公告发布之日起3个工作日内将响应文件纸质版正本壹份、副本贰份、电子版（U盘1个）贰份（包含 word及PDF格式响应文件所有内容。）送达至招标代理机构。（纸质响应文件建议A4纸双面打印，正、副本分别各自装订成册并编制目录和页码，并加盖公章。）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法定代表人直接参与磋商的，须出 具法定代表人证明（附法人身份证 复印件）；法定代表人授权代表参 与磋商的，须出具法人授权委托书 （附法人及授权代表身份证复印件)</w:t>
            </w:r>
          </w:p>
        </w:tc>
        <w:tc>
          <w:tcPr>
            <w:tcW w:type="dxa" w:w="3322"/>
          </w:tcPr>
          <w:p>
            <w:pPr>
              <w:pStyle w:val="null3"/>
            </w:pPr>
            <w:r>
              <w:rPr>
                <w:rFonts w:ascii="仿宋_GB2312" w:hAnsi="仿宋_GB2312" w:cs="仿宋_GB2312" w:eastAsia="仿宋_GB2312"/>
              </w:rPr>
              <w:t>法定代表人直接参与磋商的，须出具法定代表 人证明（附法人身份证复印件）；法定代表人 授权代表参与磋商的，须出具法人授权委托书 （附法人及授权代表身份证复印件）。供应商 需在项目电子化交易系统中按要求上传相应证明文件并进行电子签章。</w:t>
            </w:r>
          </w:p>
        </w:tc>
        <w:tc>
          <w:tcPr>
            <w:tcW w:type="dxa" w:w="1661"/>
          </w:tcPr>
          <w:p>
            <w:pPr>
              <w:pStyle w:val="null3"/>
            </w:pPr>
            <w:r>
              <w:rPr>
                <w:rFonts w:ascii="仿宋_GB2312" w:hAnsi="仿宋_GB2312" w:cs="仿宋_GB2312" w:eastAsia="仿宋_GB2312"/>
              </w:rPr>
              <w:t>10法定代表人身份证明 10-1法定代表人授权书</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须具有基础电信业务经营许可证或具有基础电信业务经营许可证的分支机构（备注：本项目仅允许具有基础电信业务经营许可证的本部或授权的一个分支机构参与投标。投标人若为分公司，须出具公司本部针对本项目的唯一授权书，总公司与分公司同时参与投标的，分公司投标无效）</w:t>
            </w:r>
          </w:p>
        </w:tc>
        <w:tc>
          <w:tcPr>
            <w:tcW w:type="dxa" w:w="3322"/>
          </w:tcPr>
          <w:p>
            <w:pPr>
              <w:pStyle w:val="null3"/>
            </w:pPr>
            <w:r>
              <w:rPr>
                <w:rFonts w:ascii="仿宋_GB2312" w:hAnsi="仿宋_GB2312" w:cs="仿宋_GB2312" w:eastAsia="仿宋_GB2312"/>
              </w:rPr>
              <w:t>供应商须具有基础电信业务经营许可证或具有基础电信业务经营许可证的分支机构。（备注：本项目仅允许具有基础电信业务经营许可证的本部或授权的一个分支机构参与投标。投标人若为分公司，须出具公司本部针对本项目的唯一授权书，总公司与分公司同时参与投标的，分公司投标无效）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11具有基础电信业务经营许可证或具有基础电信业务经营许可证的分支机构</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磋商响应文件的完整性审查</w:t>
            </w:r>
          </w:p>
        </w:tc>
        <w:tc>
          <w:tcPr>
            <w:tcW w:type="dxa" w:w="3322"/>
          </w:tcPr>
          <w:p>
            <w:pPr>
              <w:pStyle w:val="null3"/>
            </w:pPr>
            <w:r>
              <w:rPr>
                <w:rFonts w:ascii="仿宋_GB2312" w:hAnsi="仿宋_GB2312" w:cs="仿宋_GB2312" w:eastAsia="仿宋_GB2312"/>
              </w:rPr>
              <w:t>（1）磋商响应文件是否按照磋商文件要求的格 式编写； （2）磋商响应文件内容是否有重大缺 漏项。</w:t>
            </w:r>
          </w:p>
        </w:tc>
        <w:tc>
          <w:tcPr>
            <w:tcW w:type="dxa" w:w="1661"/>
          </w:tcPr>
          <w:p>
            <w:pPr>
              <w:pStyle w:val="null3"/>
            </w:pPr>
            <w:r>
              <w:rPr>
                <w:rFonts w:ascii="仿宋_GB2312" w:hAnsi="仿宋_GB2312" w:cs="仿宋_GB2312" w:eastAsia="仿宋_GB2312"/>
              </w:rPr>
              <w:t>1响应文件封面 9服务方案 6商务应答表 5服务内容及服务邀请应答表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磋商响应文件的有效性审查</w:t>
            </w:r>
          </w:p>
        </w:tc>
        <w:tc>
          <w:tcPr>
            <w:tcW w:type="dxa" w:w="3322"/>
          </w:tcPr>
          <w:p>
            <w:pPr>
              <w:pStyle w:val="null3"/>
            </w:pPr>
            <w:r>
              <w:rPr>
                <w:rFonts w:ascii="仿宋_GB2312" w:hAnsi="仿宋_GB2312" w:cs="仿宋_GB2312" w:eastAsia="仿宋_GB2312"/>
              </w:rPr>
              <w:t>（1）磋商响应文件的签署、加盖印章是否合格 、有效； （2）提供的各种证明文件、数据、资 料是否合格、有效。</w:t>
            </w:r>
          </w:p>
        </w:tc>
        <w:tc>
          <w:tcPr>
            <w:tcW w:type="dxa" w:w="1661"/>
          </w:tcPr>
          <w:p>
            <w:pPr>
              <w:pStyle w:val="null3"/>
            </w:pPr>
            <w:r>
              <w:rPr>
                <w:rFonts w:ascii="仿宋_GB2312" w:hAnsi="仿宋_GB2312" w:cs="仿宋_GB2312" w:eastAsia="仿宋_GB2312"/>
              </w:rPr>
              <w:t>4供应商应提交的相关资格证明材料 11具有基础电信业务经营许可证或具有基础电信业务经营许可证的分支机构</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对磋商文件的响应性审查</w:t>
            </w:r>
          </w:p>
        </w:tc>
        <w:tc>
          <w:tcPr>
            <w:tcW w:type="dxa" w:w="3322"/>
          </w:tcPr>
          <w:p>
            <w:pPr>
              <w:pStyle w:val="null3"/>
            </w:pPr>
            <w:r>
              <w:rPr>
                <w:rFonts w:ascii="仿宋_GB2312" w:hAnsi="仿宋_GB2312" w:cs="仿宋_GB2312" w:eastAsia="仿宋_GB2312"/>
              </w:rPr>
              <w:t>（1）磋商报价唯一，是否超过最高限价； （2 ) 磋商有效期是否符合磋商文件的要求； （3） 对磋商文件商务部分指标是否完全响应。</w:t>
            </w:r>
          </w:p>
        </w:tc>
        <w:tc>
          <w:tcPr>
            <w:tcW w:type="dxa" w:w="1661"/>
          </w:tcPr>
          <w:p>
            <w:pPr>
              <w:pStyle w:val="null3"/>
            </w:pPr>
            <w:r>
              <w:rPr>
                <w:rFonts w:ascii="仿宋_GB2312" w:hAnsi="仿宋_GB2312" w:cs="仿宋_GB2312" w:eastAsia="仿宋_GB2312"/>
              </w:rPr>
              <w:t>2响应函 6商务应答表 7报价表 8标的清单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7报价表 8标的清单</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商务和技术响应</w:t>
            </w:r>
          </w:p>
        </w:tc>
        <w:tc>
          <w:tcPr>
            <w:tcW w:type="dxa" w:w="2492"/>
          </w:tcPr>
          <w:p>
            <w:pPr>
              <w:pStyle w:val="null3"/>
            </w:pPr>
            <w:r>
              <w:rPr>
                <w:rFonts w:ascii="仿宋_GB2312" w:hAnsi="仿宋_GB2312" w:cs="仿宋_GB2312" w:eastAsia="仿宋_GB2312"/>
              </w:rPr>
              <w:t>经过资格和符合性审核合格的供应商，商务和技术条款满足磋商文件要求，基础分计3分；不满足技术条款要求的（供应商必须满足商务条款要求，商务无负偏离），技术条款每负偏离一项扣1分，基础分扣完为止。优于商务和技术条款要求的，每正偏离一项在基础份上加1分，最多加分不得超过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6商务应答表</w:t>
            </w:r>
          </w:p>
          <w:p>
            <w:pPr>
              <w:pStyle w:val="null3"/>
            </w:pPr>
            <w:r>
              <w:rPr>
                <w:rFonts w:ascii="仿宋_GB2312" w:hAnsi="仿宋_GB2312" w:cs="仿宋_GB2312" w:eastAsia="仿宋_GB2312"/>
              </w:rPr>
              <w:t>5服务内容及服务邀请应答表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对本项目的认知</w:t>
            </w:r>
          </w:p>
        </w:tc>
        <w:tc>
          <w:tcPr>
            <w:tcW w:type="dxa" w:w="2492"/>
          </w:tcPr>
          <w:p>
            <w:pPr>
              <w:pStyle w:val="null3"/>
            </w:pPr>
            <w:r>
              <w:rPr>
                <w:rFonts w:ascii="仿宋_GB2312" w:hAnsi="仿宋_GB2312" w:cs="仿宋_GB2312" w:eastAsia="仿宋_GB2312"/>
              </w:rPr>
              <w:t>满足磋商文件要求的前提下，提供对本项目的理解描述包含：①对本项目的认知理解②对本项目的需求分析③业务流程理解等。充分体现以上内容，能完全匹配项目需求的进行综合评定。 （完全满足采购需求，无瑕疵计5分； 存在1处瑕疵计4分； 存在2处瑕疵计3分； 存在3处瑕疵计2分； 存在4处瑕疵计1分； 未提供或内容存在5处及以上瑕疵：0分。）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本表所有对于瑕疵定义的内容“同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9服务方案</w:t>
            </w:r>
          </w:p>
        </w:tc>
      </w:tr>
      <w:tr>
        <w:tc>
          <w:tcPr>
            <w:tcW w:type="dxa" w:w="831"/>
            <w:vMerge/>
          </w:tcP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响应方案描述详细，满足磋商文件要求，满足各项技术指标，依据业务系统提用资源分配的合理化建议，按其响应程度计0～32分。 1、设计原则，依据对本项目技术服务方案设计响应情况评分。（完全满足采购需求，无瑕疵计5分； 存在1处瑕疵计4分； 存在2处瑕疵计3分； 存在3处瑕疵计2分； 存在4处瑕疵计1分； 未提供或内容存在5处及以上瑕疵：0分。） 2、项目框架，依据对本项目技术架构方面的响应情况评分。（完全满足采购需求，无瑕疵计5分； 存在1处瑕疵计4分； 存在2处瑕疵计3分； 存在3处瑕疵计2分； 存在4处瑕疵计1分； 未提供或内容存在5处及以上瑕疵：0分。） 3、产品介绍，依据对本项目所提供产品及服务的响应情况评分。 （完全满足采购需求，无瑕疵计5分； 存在1处瑕疵计4分； 存在2处瑕疵计3分； 存在3处瑕疵计2分； 存在4处瑕疵计1分； 未提供或内容存在5处及以上瑕疵：0分。） 4、技术性能指标，依据对本项目所提供产品及服务的技术性能指响应情况评分。（完全满足采购需求，无瑕疵计6分； 存在1处瑕疵计5分； 存在2处瑕疵计4分； 存在3处瑕疵计3分； 存在4处瑕疵计2分； 存在5处瑕疵计1分； 未提供或内容存在6处及以上瑕疵：0分。） 5、安全设计，依据对本项目安全防范方面的响应情况评分。 （完全满足采购需求，无瑕疵计5分； 存在1处瑕疵计4分； 存在2处瑕疵计3分； 存在3处瑕疵计2分； 存在4处瑕疵计1分； 未提供或内容存在5处及以上瑕疵：0分。） 6、系统集成与调试，依据对本项目所涉及业务系统相关的应用集成及数据迁移服务响应情况评分。（完全满足采购需求，无瑕疵计6分； 存在1处瑕疵计5分； 存在2处瑕疵计4分； 存在3处瑕疵计3分； 存在4处瑕疵计2分； 存在5处瑕疵计1分； 未提供或内容存在6处及以上瑕疵：0分。）</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9服务方案</w:t>
            </w:r>
          </w:p>
        </w:tc>
      </w:tr>
      <w:tr>
        <w:tc>
          <w:tcPr>
            <w:tcW w:type="dxa" w:w="831"/>
            <w:vMerge/>
          </w:tcPr>
          <w:p/>
        </w:tc>
        <w:tc>
          <w:tcPr>
            <w:tcW w:type="dxa" w:w="1661"/>
          </w:tcPr>
          <w:p>
            <w:pPr>
              <w:pStyle w:val="null3"/>
            </w:pPr>
            <w:r>
              <w:rPr>
                <w:rFonts w:ascii="仿宋_GB2312" w:hAnsi="仿宋_GB2312" w:cs="仿宋_GB2312" w:eastAsia="仿宋_GB2312"/>
              </w:rPr>
              <w:t>企业实力及项目人员组成</w:t>
            </w:r>
          </w:p>
        </w:tc>
        <w:tc>
          <w:tcPr>
            <w:tcW w:type="dxa" w:w="2492"/>
          </w:tcPr>
          <w:p>
            <w:pPr>
              <w:pStyle w:val="null3"/>
            </w:pPr>
            <w:r>
              <w:rPr>
                <w:rFonts w:ascii="仿宋_GB2312" w:hAnsi="仿宋_GB2312" w:cs="仿宋_GB2312" w:eastAsia="仿宋_GB2312"/>
              </w:rPr>
              <w:t>1、供应商具有在响应有效期内有效的高新技术企业、质量管理体系、环境管理体系、职业健康体系认证证书，每个证书得1分，最高得4分。（响应文件中必须提供证书复印件并加盖公章，否则不予计分） 2、供应商拟派项目负责人具有计算机应用专业高级职称的得2分，中级职称的得1分，不提供证书不得分 。（响应文件中必须提供职称证、身份证及社保证明复印件并加盖公章，否则不予计分） 3、拟派本项目管理、技术、服务人员配备的数量及专业合理，完全满足服务需求的，根据情况综合评审。（完全满足采购需求，无瑕疵计6分； 存在1处瑕疵计5分； 存在2处瑕疵计4分； 存在3处瑕疵计3分； 存在4处瑕疵计2分； 存在5处瑕疵计1分； 未提供或内容存在6处及以上瑕疵：0分。）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9服务方案</w:t>
            </w:r>
          </w:p>
          <w:p>
            <w:pPr>
              <w:pStyle w:val="null3"/>
            </w:pPr>
            <w:r>
              <w:rPr>
                <w:rFonts w:ascii="仿宋_GB2312" w:hAnsi="仿宋_GB2312" w:cs="仿宋_GB2312" w:eastAsia="仿宋_GB2312"/>
              </w:rPr>
              <w:t>12拟派本项目管理、技术、服务人员情况表</w:t>
            </w:r>
          </w:p>
        </w:tc>
      </w:tr>
      <w:tr>
        <w:tc>
          <w:tcPr>
            <w:tcW w:type="dxa" w:w="831"/>
            <w:vMerge/>
          </w:tcPr>
          <w:p/>
        </w:tc>
        <w:tc>
          <w:tcPr>
            <w:tcW w:type="dxa" w:w="1661"/>
          </w:tcPr>
          <w:p>
            <w:pPr>
              <w:pStyle w:val="null3"/>
            </w:pPr>
            <w:r>
              <w:rPr>
                <w:rFonts w:ascii="仿宋_GB2312" w:hAnsi="仿宋_GB2312" w:cs="仿宋_GB2312" w:eastAsia="仿宋_GB2312"/>
              </w:rPr>
              <w:t>服务保证</w:t>
            </w:r>
          </w:p>
        </w:tc>
        <w:tc>
          <w:tcPr>
            <w:tcW w:type="dxa" w:w="2492"/>
          </w:tcPr>
          <w:p>
            <w:pPr>
              <w:pStyle w:val="null3"/>
            </w:pPr>
            <w:r>
              <w:rPr>
                <w:rFonts w:ascii="仿宋_GB2312" w:hAnsi="仿宋_GB2312" w:cs="仿宋_GB2312" w:eastAsia="仿宋_GB2312"/>
              </w:rPr>
              <w:t>供应商针对本项目及采购人实际需求提供详细具体可行的售后服务承诺，其中包含： ①实施质量及保障措施； ②实施计划及保障措施； ③售后服务及培训。 （完全满足采购需求，无瑕疵计15分； 存在1处瑕疵计13分； 存在2处瑕疵计11分； 存在3处瑕疵计9分； 存在4处瑕疵计7分； 存在5处瑕疵计5分； 存在6处瑕疵计3分； 存在7处瑕疵计1分； 未提供或内容存在8处及以上瑕疵：0分。）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9服务方案</w:t>
            </w:r>
          </w:p>
        </w:tc>
      </w:tr>
      <w:tr>
        <w:tc>
          <w:tcPr>
            <w:tcW w:type="dxa" w:w="831"/>
            <w:vMerge/>
          </w:tcPr>
          <w:p/>
        </w:tc>
        <w:tc>
          <w:tcPr>
            <w:tcW w:type="dxa" w:w="1661"/>
          </w:tcPr>
          <w:p>
            <w:pPr>
              <w:pStyle w:val="null3"/>
            </w:pPr>
            <w:r>
              <w:rPr>
                <w:rFonts w:ascii="仿宋_GB2312" w:hAnsi="仿宋_GB2312" w:cs="仿宋_GB2312" w:eastAsia="仿宋_GB2312"/>
              </w:rPr>
              <w:t>应急保障预案</w:t>
            </w:r>
          </w:p>
        </w:tc>
        <w:tc>
          <w:tcPr>
            <w:tcW w:type="dxa" w:w="2492"/>
          </w:tcPr>
          <w:p>
            <w:pPr>
              <w:pStyle w:val="null3"/>
            </w:pPr>
            <w:r>
              <w:rPr>
                <w:rFonts w:ascii="仿宋_GB2312" w:hAnsi="仿宋_GB2312" w:cs="仿宋_GB2312" w:eastAsia="仿宋_GB2312"/>
              </w:rPr>
              <w:t>为确保票务系统网络安全云存储项目的良好进行，供应商须提供行之有效、详细具体的针对故障突发事件的处理方案以及故障响应的时效性保证措施，内容包括但不限于服务响应时间、备份恢复、备机服务、定期巡查、故障诊断、特殊时段运维保障、应急预案等，根据情况综合评审。 （完全满足采购需求，无瑕疵计9分； 存在1处瑕疵计7分； 存在2处瑕疵计5分； 存在3处瑕疵计3分； 存在4处瑕疵计1分；未提供或内容存在5处及以上瑕疵：0分。）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9服务方案</w:t>
            </w:r>
          </w:p>
        </w:tc>
      </w:tr>
      <w:tr>
        <w:tc>
          <w:tcPr>
            <w:tcW w:type="dxa" w:w="831"/>
            <w:vMerge/>
          </w:tcPr>
          <w:p/>
        </w:tc>
        <w:tc>
          <w:tcPr>
            <w:tcW w:type="dxa" w:w="1661"/>
          </w:tcPr>
          <w:p>
            <w:pPr>
              <w:pStyle w:val="null3"/>
            </w:pPr>
            <w:r>
              <w:rPr>
                <w:rFonts w:ascii="仿宋_GB2312" w:hAnsi="仿宋_GB2312" w:cs="仿宋_GB2312" w:eastAsia="仿宋_GB2312"/>
              </w:rPr>
              <w:t>安全保障方案及措施</w:t>
            </w:r>
          </w:p>
        </w:tc>
        <w:tc>
          <w:tcPr>
            <w:tcW w:type="dxa" w:w="2492"/>
          </w:tcPr>
          <w:p>
            <w:pPr>
              <w:pStyle w:val="null3"/>
            </w:pPr>
            <w:r>
              <w:rPr>
                <w:rFonts w:ascii="仿宋_GB2312" w:hAnsi="仿宋_GB2312" w:cs="仿宋_GB2312" w:eastAsia="仿宋_GB2312"/>
              </w:rPr>
              <w:t>根据供应商针对本项目提供的施工、服务过程中安全防范、安全保障的方案进行综合评审。（完全满足采购需求，无瑕疵计5分； 存在1处瑕疵计4分； 存在2处瑕疵计3分； 存在3处瑕疵计2分； 存在4处瑕疵计1分；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供应商具有近三年（2022年1月至今，以合同签订时间为准）类似项目业绩，每提供1个计2分，满分6分。 注：需要提供合同复印件，合同复印件包括合同首页、签字盖章页以及合同内容关键页，要求合 同复印件资料齐全，否则不得分。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 , 即满足磋商文件要求且最后磋商 报价最低的报价为评审基准价，其 价格分为满分。其他供应商的价格 分统一按照下列公式计算： 磋商报价得分=【评审基准价/磋商报价( 最终二次报价）】 ×10； 备注：（1）根据《政府采购促进中小企业发展暂行办法》的相关规定，对小型和微型企业的价格给予10%的扣除，用扣除后的价格参与评审。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小型、微型企业和监狱企业及符合财政部、民政部、中国残疾人联合会关于促进残疾人就业政府采购政策的通知，以上政策同时具备的仅对其进行一次10%的价格扣除，不重复扣除。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7报价表</w:t>
            </w:r>
          </w:p>
          <w:p>
            <w:pPr>
              <w:pStyle w:val="null3"/>
            </w:pPr>
            <w:r>
              <w:rPr>
                <w:rFonts w:ascii="仿宋_GB2312" w:hAnsi="仿宋_GB2312" w:cs="仿宋_GB2312" w:eastAsia="仿宋_GB2312"/>
              </w:rPr>
              <w:t>8标的清单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3-1残疾人福利性单位声明函 3-2监狱企业的证明文件 7报价表 8标的清单 3中小企业声明函</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详见附件：1响应文件封面</w:t>
      </w:r>
    </w:p>
    <w:p>
      <w:pPr>
        <w:pStyle w:val="null3"/>
        <w:ind w:firstLine="960"/>
      </w:pPr>
      <w:r>
        <w:rPr>
          <w:rFonts w:ascii="仿宋_GB2312" w:hAnsi="仿宋_GB2312" w:cs="仿宋_GB2312" w:eastAsia="仿宋_GB2312"/>
        </w:rPr>
        <w:t>详见附件：2响应函</w:t>
      </w:r>
    </w:p>
    <w:p>
      <w:pPr>
        <w:pStyle w:val="null3"/>
        <w:ind w:firstLine="960"/>
      </w:pPr>
      <w:r>
        <w:rPr>
          <w:rFonts w:ascii="仿宋_GB2312" w:hAnsi="仿宋_GB2312" w:cs="仿宋_GB2312" w:eastAsia="仿宋_GB2312"/>
        </w:rPr>
        <w:t>详见附件：3中小企业声明函</w:t>
      </w:r>
    </w:p>
    <w:p>
      <w:pPr>
        <w:pStyle w:val="null3"/>
        <w:ind w:firstLine="960"/>
      </w:pPr>
      <w:r>
        <w:rPr>
          <w:rFonts w:ascii="仿宋_GB2312" w:hAnsi="仿宋_GB2312" w:cs="仿宋_GB2312" w:eastAsia="仿宋_GB2312"/>
        </w:rPr>
        <w:t>详见附件：3-1残疾人福利性单位声明函</w:t>
      </w:r>
    </w:p>
    <w:p>
      <w:pPr>
        <w:pStyle w:val="null3"/>
        <w:ind w:firstLine="960"/>
      </w:pPr>
      <w:r>
        <w:rPr>
          <w:rFonts w:ascii="仿宋_GB2312" w:hAnsi="仿宋_GB2312" w:cs="仿宋_GB2312" w:eastAsia="仿宋_GB2312"/>
        </w:rPr>
        <w:t>详见附件：3-2监狱企业的证明文件</w:t>
      </w:r>
    </w:p>
    <w:p>
      <w:pPr>
        <w:pStyle w:val="null3"/>
        <w:ind w:firstLine="960"/>
      </w:pPr>
      <w:r>
        <w:rPr>
          <w:rFonts w:ascii="仿宋_GB2312" w:hAnsi="仿宋_GB2312" w:cs="仿宋_GB2312" w:eastAsia="仿宋_GB2312"/>
        </w:rPr>
        <w:t>详见附件：4供应商应提交的相关资格证明材料</w:t>
      </w:r>
    </w:p>
    <w:p>
      <w:pPr>
        <w:pStyle w:val="null3"/>
        <w:ind w:firstLine="960"/>
      </w:pPr>
      <w:r>
        <w:rPr>
          <w:rFonts w:ascii="仿宋_GB2312" w:hAnsi="仿宋_GB2312" w:cs="仿宋_GB2312" w:eastAsia="仿宋_GB2312"/>
        </w:rPr>
        <w:t>详见附件：5服务内容及服务邀请应答表</w:t>
      </w:r>
    </w:p>
    <w:p>
      <w:pPr>
        <w:pStyle w:val="null3"/>
        <w:ind w:firstLine="960"/>
      </w:pPr>
      <w:r>
        <w:rPr>
          <w:rFonts w:ascii="仿宋_GB2312" w:hAnsi="仿宋_GB2312" w:cs="仿宋_GB2312" w:eastAsia="仿宋_GB2312"/>
        </w:rPr>
        <w:t>详见附件：6商务应答表</w:t>
      </w:r>
    </w:p>
    <w:p>
      <w:pPr>
        <w:pStyle w:val="null3"/>
        <w:ind w:firstLine="960"/>
      </w:pPr>
      <w:r>
        <w:rPr>
          <w:rFonts w:ascii="仿宋_GB2312" w:hAnsi="仿宋_GB2312" w:cs="仿宋_GB2312" w:eastAsia="仿宋_GB2312"/>
        </w:rPr>
        <w:t>详见附件：7报价表</w:t>
      </w:r>
    </w:p>
    <w:p>
      <w:pPr>
        <w:pStyle w:val="null3"/>
        <w:ind w:firstLine="960"/>
      </w:pPr>
      <w:r>
        <w:rPr>
          <w:rFonts w:ascii="仿宋_GB2312" w:hAnsi="仿宋_GB2312" w:cs="仿宋_GB2312" w:eastAsia="仿宋_GB2312"/>
        </w:rPr>
        <w:t>详见附件：8标的清单</w:t>
      </w:r>
    </w:p>
    <w:p>
      <w:pPr>
        <w:pStyle w:val="null3"/>
        <w:ind w:firstLine="960"/>
      </w:pPr>
      <w:r>
        <w:rPr>
          <w:rFonts w:ascii="仿宋_GB2312" w:hAnsi="仿宋_GB2312" w:cs="仿宋_GB2312" w:eastAsia="仿宋_GB2312"/>
        </w:rPr>
        <w:t>详见附件：9服务方案</w:t>
      </w:r>
    </w:p>
    <w:p>
      <w:pPr>
        <w:pStyle w:val="null3"/>
        <w:ind w:firstLine="960"/>
      </w:pPr>
      <w:r>
        <w:rPr>
          <w:rFonts w:ascii="仿宋_GB2312" w:hAnsi="仿宋_GB2312" w:cs="仿宋_GB2312" w:eastAsia="仿宋_GB2312"/>
        </w:rPr>
        <w:t>详见附件：10法定代表人身份证明</w:t>
      </w:r>
    </w:p>
    <w:p>
      <w:pPr>
        <w:pStyle w:val="null3"/>
        <w:ind w:firstLine="960"/>
      </w:pPr>
      <w:r>
        <w:rPr>
          <w:rFonts w:ascii="仿宋_GB2312" w:hAnsi="仿宋_GB2312" w:cs="仿宋_GB2312" w:eastAsia="仿宋_GB2312"/>
        </w:rPr>
        <w:t>详见附件：10-1法定代表人授权书</w:t>
      </w:r>
    </w:p>
    <w:p>
      <w:pPr>
        <w:pStyle w:val="null3"/>
        <w:ind w:firstLine="960"/>
      </w:pPr>
      <w:r>
        <w:rPr>
          <w:rFonts w:ascii="仿宋_GB2312" w:hAnsi="仿宋_GB2312" w:cs="仿宋_GB2312" w:eastAsia="仿宋_GB2312"/>
        </w:rPr>
        <w:t>详见附件：11具有基础电信业务经营许可证或具有基础电信业务经营许可证的分支机构</w:t>
      </w:r>
    </w:p>
    <w:p>
      <w:pPr>
        <w:pStyle w:val="null3"/>
        <w:ind w:firstLine="960"/>
      </w:pPr>
      <w:r>
        <w:rPr>
          <w:rFonts w:ascii="仿宋_GB2312" w:hAnsi="仿宋_GB2312" w:cs="仿宋_GB2312" w:eastAsia="仿宋_GB2312"/>
        </w:rPr>
        <w:t>详见附件：12拟派本项目管理、技术、服务人员情况表</w:t>
      </w:r>
    </w:p>
    <w:p>
      <w:pPr>
        <w:pStyle w:val="null3"/>
        <w:ind w:firstLine="960"/>
      </w:pPr>
      <w:r>
        <w:rPr>
          <w:rFonts w:ascii="仿宋_GB2312" w:hAnsi="仿宋_GB2312" w:cs="仿宋_GB2312" w:eastAsia="仿宋_GB2312"/>
        </w:rPr>
        <w:t>详见附件：13业绩的有关证明材料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