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版本号：GXCZ-C-2557030020250519001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信息化项目竣工验收前技术鉴定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GXCZ-C-25570300</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国信招标集团股份有限公司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信息化项目竣工验收前技术鉴定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GXCZ-C-25570300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信息化项目竣工验收前技术鉴定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陕西省交通运输厅《关于进一步规范交通运输信息化建设项目竣工验收程序的通知》（陕交函〔2019〕720号）要求，信息化项目建成达到竣工验收条件后，从基础设施及硬件部署情况、软件功能完成情况、竣工资料完整性等方面开展竣工验收前技术检测鉴定，形成项目鉴定技术报告作为项目竣工验收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采购包1（信息化项目竣工验收前技术鉴定）：属于专门面向中小企业采购。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豆老师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029-888629271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服务费收取账号： 户名：国信招标集团股份有限公司 开户银行：平安银行北京神华支行 虚拟账号：30206098009057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联系人：肖君玲、贾天佼、刘洋</w:t>
      </w:r>
    </w:p>
    <w:p>
      <w:pPr>
        <w:pStyle w:val="null3"/>
      </w:pPr>
      <w:r>
        <w:rPr>
          <w:rFonts w:ascii="仿宋_GB2312" w:hAnsi="仿宋_GB2312" w:cs="仿宋_GB2312" w:eastAsia="仿宋_GB2312"/>
        </w:rPr>
        <w:t>联系电话：15637780510、13299087301</w:t>
      </w:r>
    </w:p>
    <w:p>
      <w:pPr>
        <w:pStyle w:val="null3"/>
      </w:pPr>
      <w:r>
        <w:rPr>
          <w:rFonts w:ascii="仿宋_GB2312" w:hAnsi="仿宋_GB2312" w:cs="仿宋_GB2312" w:eastAsia="仿宋_GB2312"/>
        </w:rPr>
        <w:t>地址：陕西省西安市南二环成长大厦20楼</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陕西省交通运输厅《关于进一步规范交通运输信息化建设项目竣工验收程序的通知》（陕交函〔2019〕720号）要求，信息化项目建成达到竣工验收条件后，从基础设施及硬件部署情况、软件功能完成情况、竣工资料完整性等方面开展竣工验收前技术检测鉴定，形成项目鉴定技术报告作为项目竣工验收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135,600.00</w:t>
      </w:r>
    </w:p>
    <w:p>
      <w:pPr>
        <w:pStyle w:val="null3"/>
      </w:pPr>
      <w:r>
        <w:rPr>
          <w:rFonts w:ascii="仿宋_GB2312" w:hAnsi="仿宋_GB2312" w:cs="仿宋_GB2312" w:eastAsia="仿宋_GB2312"/>
        </w:rPr>
        <w:t>采购包最高限价（元）: 135,600.00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信息化项目竣工验收前技术鉴定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标的名称：信息化项目竣工验收前技术鉴定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包含2个信息化项目的竣工验收前技术鉴定工作。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按照采购人指令对达到竣工验收条件的指定信息化项目开展技术鉴定工作，按要求前往需验收项目的实施地点（陕西省），查验资料并进行相关测试。</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供应商为完成本项工作所需的交通费、住宿费、印刷费、劳务费、设备购置租用费、评审费、保险费等一切税费均包含在采购总价中。</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rPr>
              <w:t>从基础设施及硬件部署情况、软件功能完成情况、竣工资料完整性等方面按时出具《项目竣工验收前技术鉴定报告》《项目软件测评报告》、《项目关键文书核对报告》。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通过采购人组织的验收。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供应商完成服务内容经采购人验收通过后提供相应发票给采购人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2.未按合同或政府采购招投标文件要求提供产品、服务，或供应的产品、服务质量不能满足甲方技术要求，经书面告知在合理期限内整改但仍不予调整的，甲方有权终止合同，并有权对乙方违约行为进行追究。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4.甲方的违约责任 甲方因自身原因不按合同约定向乙方付款，每逾期一天，须按迟延付款额的_0.01%_向乙方支付延期付款的违约金。 甲方不按照合同约定提供相关资料及其它协作事项的，应提前7个日历天书面通知乙方，项目完成时间予以顺延。 5.乙方的违约责任 乙方未按照本合同约定保质保量提供产品或服务，经甲方催告后履行仍不符合合同约定的，甲方有权解除本合同，同时有权要求乙方按照合同价款的10%承担违约金。甲方维权支付的诉讼费、保全费、律师费等费用由乙方承担。 合同履行期限结束，乙方未能按期完成服务期限的内容，乙方应继续履行自身义务直至符合合同约定。同时从合同履行期限届满之日开始起算，每逾期一天按合同总金额的 0.03% 向甲方支付违约金。 若本项目经甲方验收不合格，甲方有权要求乙方在10日历天内整改完善，乙方必须予以整改完善。因此导致成果逾期提交的，履行期限不予顺延，每逾期一天，应按合同总金额的0.03%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30%，但甲方的实际损失超过合同总金额30%的，乙方应当承担补足责任。 甲乙双方任何一方违反保密义务的，违约方应向对方支付合同总金额10%的违约金，违约金不足以弥补对方损失的还应当承担补足责任。 乙方没有甲方的书面同意转让合同或将项目的全部或部分分包或转包出去，甲方可向乙方发出书面违约通知书，提出终止部分或全部合同。若甲方部分终止合同的，乙方应继续履行合同其他义务，并按照合同金额的10%支付违约金。若甲方全部终止合同的，乙方应按合同总金额30%的支付违约金。同时甲方的实际损失超过合同总金额30%的，乙方应当承担补足责任。 乙方违反合同约定的其它责任、义务视为违约，需向甲方支付合同总价款的30%违约金。同时甲方的实际损失超过合同总金额30%的，乙方应当承担补足责任。 合同争议的解决：合同执行中发生争议的，当事人双方应协商解决，协商达不成一致时，可向甲方所在地人民法院提请诉讼。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1.安全保密： 签订《信息化项目竣工验收前技术鉴定技术服务保密协议》，确保信息安全。 2.质量标准： 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软件和信息技术服务业）的政策划分标准。监狱企业、残疾人福利单位视同小型、微型企业。 注：中小企业应填写的《中小企业声明函》（见响应文件格式）可为判定标准，残疾人福利性单位填写的《残疾人福利性单位声明函》（见响应文件格式）可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磋商小组认为供应商响应报价明显低于市场价格，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响应承诺书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符合磋商文件第三章“3.3商务要求”。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符合磋商文件第三章“3.2服务内容及服务要求响应”中★条款要求。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供应商应满足磋商文件的实质性要求，也不得存在磋商文件规定的无效情形。</w:t>
            </w:r>
          </w:p>
        </w:tc>
        <w:tc>
          <w:tcPr>
            <w:tcW w:type="dxa" w:w="1661"/>
          </w:tcPr>
          <w:p>
            <w:pPr>
              <w:pStyle w:val="null3"/>
            </w:pPr>
            <w:r>
              <w:rPr>
                <w:rFonts w:ascii="仿宋_GB2312" w:hAnsi="仿宋_GB2312" w:cs="仿宋_GB2312" w:eastAsia="仿宋_GB2312"/>
              </w:rPr>
              <w:t>政府采购供应商拒绝政府采购领域商业贿赂承诺书 响应承诺书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同类项目经验： 提供2022年1月1日至磋商响应文件提交截止时间供应商承担过的信息化项目技术鉴定等同类项目业绩，每出具一个得3分，本项最多得分15分。 注：提供完整的合同复印件证明业绩有效，业绩所属时间以合同签订时间为准）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对项目的理解认知与重点把握，对关键性问题的对策措施（响应文件完全满足磋商文件要求的赋15分；响应文件基本满足磋商文件的赋10分；响应文件不完全满足响应文件要求的赋5分，缺项不得分）。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2.工作方案：目标清晰、技术框架完整、有创新性和可行性（响应文件完全满足磋商文件要求的赋15分；响应文件基本满足磋商文件的赋10分；响应文件不完全满足响应文件要求的赋5分，缺项不得分）。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3.工作进度计划及保障措施：工作进度计划合理、有可操作性（响应文件完全满足磋商文件要求的赋15分；响应文件基本满足磋商文件的赋10分；响应文件不完全满足响应文件要求的赋5分，缺项不得分）。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1.项目负责人：具备信息系统项目管理师证书或高级以上职称得3分。 2.投入其他人员：具有信息化方向专业高级以上职称的每人加2分，中级职称每人加1分，最高得7分。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服务质量保证措施内容总体思路清晰、合理、可行性强，能够有效保障服务质量得10分；总体思路较清晰、合理，可行性较强，能有效保障服务质量得6分；总体思路基本清晰，基本能够保障服务质量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供应商对本项目提出合理化建议，描述合理、可行的得10分，描述合理但可行性不够好的得6分，描述不合理、不可行的得2分，没有不得分。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满足竞争性磋商文件要求且最低的磋商报价为评审基准价，其价格分为满分。 各供应商的报价得分按下列公式计算：报价得分=（基准价/磋商报价）×10，磋商报价不完整的，不进入磋商基准价的计算，本项得0分。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首轮报价表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