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版本号：DRZB2025-ZC-11620250515001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人民法院在线服务陕西分平台云资源租用服务项目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DRZB2025-ZC-116</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人民法院在线服务陕西分平台云资源租用服务项目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人民法院在线服务陕西分平台云资源租用服务项目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陕西省高级人民法院人民法院在线服务陕西分平台云资源租用服务项目，具体详见招标文件及内容。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的法人或其他组织或自然人，投标（响应）时提交有效的营业执照（或事业法人登记证或身份证等相关证明）复印件。分支机构参与的，须提供总公司和分公司营业执照复印件及总公司出具给分支机构的授权书；</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7、法定代表人授权委托书：法定代表人直接参加投标的，须出具法定代表人身份证明书及身份证；法定代表人授权代表参加投标的，须出具法定代表人授权书及授权代表身份证扫描件；</w:t>
      </w:r>
    </w:p>
    <w:p>
      <w:pPr>
        <w:pStyle w:val="null3"/>
      </w:pPr>
      <w:r>
        <w:rPr>
          <w:rFonts w:ascii="仿宋_GB2312" w:hAnsi="仿宋_GB2312" w:cs="仿宋_GB2312" w:eastAsia="仿宋_GB2312"/>
        </w:rPr>
        <w:t>8、信用记录：投标人不得列为信用中国网站(www.creditchina.gov.cn)“失信被执行人和重大税收违法案件当事人名单”的单位；不得列为中国政府采购网(www.ccgp.gov.cn)“政府采购严重违法失信行为信息记录”的单位；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10、非联合体声明：提供非联合体不分包响应声明。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029-85558120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代理服务费收费标准：中标人在领取《中标通知书》之前，向采购代理机构一次付清招标代理服务费，本项目代理服务费按定额20000.00元收取。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陕西省高级人民法院人民法院在线服务陕西分平台云资源租用服务项目，具体详见招标文件及内容。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人民法院在线服务陕西分平台云资源平台服务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标的名称：人民法院在线服务陕西分平台云资源平台服务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一、项目名称</w:t>
            </w:r>
          </w:p>
          <w:p>
            <w:pPr>
              <w:pStyle w:val="null3"/>
              <w:jc w:val="left"/>
            </w:pPr>
            <w:r>
              <w:rPr>
                <w:rFonts w:ascii="仿宋_GB2312" w:hAnsi="仿宋_GB2312" w:cs="仿宋_GB2312" w:eastAsia="仿宋_GB2312"/>
                <w:sz w:val="20"/>
              </w:rPr>
              <w:t>人民法院在线服务陕西分平台云资源租用服务项目</w:t>
            </w:r>
          </w:p>
          <w:p>
            <w:pPr>
              <w:pStyle w:val="null3"/>
              <w:jc w:val="left"/>
            </w:pPr>
            <w:r>
              <w:rPr>
                <w:rFonts w:ascii="仿宋_GB2312" w:hAnsi="仿宋_GB2312" w:cs="仿宋_GB2312" w:eastAsia="仿宋_GB2312"/>
                <w:sz w:val="20"/>
                <w:b/>
              </w:rPr>
              <w:t>二、建设背景</w:t>
            </w:r>
          </w:p>
          <w:p>
            <w:pPr>
              <w:pStyle w:val="null3"/>
              <w:jc w:val="both"/>
            </w:pPr>
            <w:r>
              <w:rPr>
                <w:rFonts w:ascii="仿宋_GB2312" w:hAnsi="仿宋_GB2312" w:cs="仿宋_GB2312" w:eastAsia="仿宋_GB2312"/>
                <w:sz w:val="20"/>
              </w:rPr>
              <w:t>人民法院在线服务陕西分平台(原陕西移动微法院)可实现在手机上进行立案、送达、证据交换、调解、开庭和执行等诉讼活动，是司法工具的一次重大创新。人民法院在线服务以大家最熟悉、最贴近生活的手机和拥有海量用户的微信为载体搭建，使诉讼活动不再受制于法庭等特定场所，可以在手机上动动手指就能进行，非常契合人们用手机上网办事的偏好。该平台通过微信小程序入口访问，无须下载安装，无需添加好友，不泄露用户私人信息，用完即走，非常适用于诉讼这种低频次行为。微法院是司法为民工作的一次创新， 让人民群众有实实在在的司法获得感。作为司法领域里的“最多跑一次”改革，能够让群众打官司“最多跑一次，甚至一次不用跑”成为可能，诉讼活动可以突破时空限制，方便诉讼参与人利用非工作时间、碎片化时间参与诉讼。在技术架构上，人民法院在线服务陕西分平台采用微服务架构设计，功能模块化、接口标准化、功能可配置。将应用服务按功能拆分成一组相互协作的服务。每个服务负责一组特定、相关的功能，从而保证与其他服务解耦。易于规模 化开发，多个开发团队可以并行开发，高效协同。</w:t>
            </w:r>
          </w:p>
          <w:p>
            <w:pPr>
              <w:pStyle w:val="null3"/>
              <w:jc w:val="both"/>
            </w:pPr>
            <w:r>
              <w:rPr>
                <w:rFonts w:ascii="仿宋_GB2312" w:hAnsi="仿宋_GB2312" w:cs="仿宋_GB2312" w:eastAsia="仿宋_GB2312"/>
                <w:sz w:val="20"/>
                <w:b/>
              </w:rPr>
              <w:t>三、服务期限</w:t>
            </w:r>
          </w:p>
          <w:p>
            <w:pPr>
              <w:pStyle w:val="null3"/>
              <w:jc w:val="both"/>
            </w:pPr>
            <w:r>
              <w:rPr>
                <w:rFonts w:ascii="仿宋_GB2312" w:hAnsi="仿宋_GB2312" w:cs="仿宋_GB2312" w:eastAsia="仿宋_GB2312"/>
                <w:sz w:val="20"/>
              </w:rPr>
              <w:t>服务期三年</w:t>
            </w:r>
          </w:p>
          <w:p>
            <w:pPr>
              <w:pStyle w:val="null3"/>
              <w:jc w:val="left"/>
            </w:pPr>
            <w:r>
              <w:rPr>
                <w:rFonts w:ascii="仿宋_GB2312" w:hAnsi="仿宋_GB2312" w:cs="仿宋_GB2312" w:eastAsia="仿宋_GB2312"/>
                <w:sz w:val="20"/>
                <w:b/>
              </w:rPr>
              <w:t>四、项目预算</w:t>
            </w:r>
          </w:p>
          <w:p>
            <w:pPr>
              <w:pStyle w:val="null3"/>
              <w:jc w:val="left"/>
            </w:pPr>
            <w:r>
              <w:rPr>
                <w:rFonts w:ascii="仿宋_GB2312" w:hAnsi="仿宋_GB2312" w:cs="仿宋_GB2312" w:eastAsia="仿宋_GB2312"/>
                <w:sz w:val="20"/>
              </w:rPr>
              <w:t>服务期内50万元/年，投标人所提供服务满足采购人要求的基础上续签合同，合同一年续签一次。</w:t>
            </w:r>
          </w:p>
          <w:p>
            <w:pPr>
              <w:pStyle w:val="null3"/>
              <w:jc w:val="both"/>
            </w:pPr>
            <w:r>
              <w:rPr>
                <w:rFonts w:ascii="仿宋_GB2312" w:hAnsi="仿宋_GB2312" w:cs="仿宋_GB2312" w:eastAsia="仿宋_GB2312"/>
                <w:sz w:val="20"/>
                <w:b/>
              </w:rPr>
              <w:t>五、项目采购内容</w:t>
            </w:r>
          </w:p>
          <w:p>
            <w:pPr>
              <w:pStyle w:val="null3"/>
              <w:jc w:val="both"/>
            </w:pPr>
            <w:r>
              <w:rPr>
                <w:rFonts w:ascii="仿宋_GB2312" w:hAnsi="仿宋_GB2312" w:cs="仿宋_GB2312" w:eastAsia="仿宋_GB2312"/>
                <w:sz w:val="20"/>
              </w:rPr>
              <w:t>为支撑人民法院在线服务陕西分平台持续稳定运行，现开展项目所需云资源服务采购，满足项目平台性能需求，详见附件《采购需求参数表》。</w:t>
            </w:r>
          </w:p>
          <w:p>
            <w:pPr>
              <w:pStyle w:val="null3"/>
              <w:jc w:val="center"/>
            </w:pPr>
            <w:r>
              <w:rPr>
                <w:rFonts w:ascii="仿宋_GB2312" w:hAnsi="仿宋_GB2312" w:cs="仿宋_GB2312" w:eastAsia="仿宋_GB2312"/>
                <w:sz w:val="20"/>
                <w:b/>
              </w:rPr>
              <w:t>采购需求参数表</w:t>
            </w:r>
          </w:p>
          <w:tbl>
            <w:tblPr>
              <w:tblInd w:type="dxa" w:w="120"/>
              <w:tblBorders>
                <w:top w:val="none" w:color="000000" w:sz="4"/>
                <w:left w:val="none" w:color="000000" w:sz="4"/>
                <w:bottom w:val="none" w:color="000000" w:sz="4"/>
                <w:right w:val="none" w:color="000000" w:sz="4"/>
                <w:insideH w:val="none"/>
                <w:insideV w:val="none"/>
              </w:tblBorders>
            </w:tblPr>
            <w:tblGrid>
              <w:gridCol w:w="244"/>
              <w:gridCol w:w="262"/>
              <w:gridCol w:w="1628"/>
              <w:gridCol w:w="197"/>
              <w:gridCol w:w="221"/>
            </w:tblGrid>
            <w:tr>
              <w:tc>
                <w:tcPr>
                  <w:tcW w:type="dxa" w:w="2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2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服务类目</w:t>
                  </w:r>
                </w:p>
              </w:tc>
              <w:tc>
                <w:tcPr>
                  <w:tcW w:type="dxa" w:w="16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规格需求描述</w:t>
                  </w:r>
                </w:p>
              </w:tc>
              <w:tc>
                <w:tcPr>
                  <w:tcW w:type="dxa" w:w="1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单位</w:t>
                  </w:r>
                </w:p>
              </w:tc>
              <w:tc>
                <w:tcPr>
                  <w:tcW w:type="dxa" w:w="2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数量</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GPU</w:t>
                  </w:r>
                  <w:r>
                    <w:rPr>
                      <w:rFonts w:ascii="仿宋_GB2312" w:hAnsi="仿宋_GB2312" w:cs="仿宋_GB2312" w:eastAsia="仿宋_GB2312"/>
                      <w:sz w:val="20"/>
                    </w:rPr>
                    <w:t>服务器</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GPU服务器规格要求：GPU≥20核，内存≥80G;配置高性</w:t>
                  </w:r>
                  <w:r>
                    <w:rPr>
                      <w:rFonts w:ascii="仿宋_GB2312" w:hAnsi="仿宋_GB2312" w:cs="仿宋_GB2312" w:eastAsia="仿宋_GB2312"/>
                      <w:sz w:val="20"/>
                    </w:rPr>
                    <w:t>能云硬盘50G.</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台</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云服务器</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rPr>
                    <w:t>1</w:t>
                  </w:r>
                  <w:r>
                    <w:rPr>
                      <w:rFonts w:ascii="仿宋_GB2312" w:hAnsi="仿宋_GB2312" w:cs="仿宋_GB2312" w:eastAsia="仿宋_GB2312"/>
                      <w:sz w:val="20"/>
                    </w:rPr>
                    <w:t>、主要参数为：</w:t>
                  </w:r>
                  <w:r>
                    <w:rPr>
                      <w:rFonts w:ascii="仿宋_GB2312" w:hAnsi="仿宋_GB2312" w:cs="仿宋_GB2312" w:eastAsia="仿宋_GB2312"/>
                      <w:sz w:val="20"/>
                    </w:rPr>
                    <w:t>CPU≥8核，内</w:t>
                  </w:r>
                  <w:r>
                    <w:rPr>
                      <w:rFonts w:ascii="仿宋_GB2312" w:hAnsi="仿宋_GB2312" w:cs="仿宋_GB2312" w:eastAsia="仿宋_GB2312"/>
                      <w:sz w:val="20"/>
                    </w:rPr>
                    <w:t>存</w:t>
                  </w:r>
                  <w:r>
                    <w:rPr>
                      <w:rFonts w:ascii="仿宋_GB2312" w:hAnsi="仿宋_GB2312" w:cs="仿宋_GB2312" w:eastAsia="仿宋_GB2312"/>
                      <w:sz w:val="20"/>
                    </w:rPr>
                    <w:t>≥</w:t>
                  </w:r>
                  <w:r>
                    <w:rPr>
                      <w:rFonts w:ascii="仿宋_GB2312" w:hAnsi="仿宋_GB2312" w:cs="仿宋_GB2312" w:eastAsia="仿宋_GB2312"/>
                      <w:sz w:val="20"/>
                    </w:rPr>
                    <w:t>16G;配置高性能云硬盘50G。</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rPr>
                    <w:t>2</w:t>
                  </w:r>
                  <w:r>
                    <w:rPr>
                      <w:rFonts w:ascii="仿宋_GB2312" w:hAnsi="仿宋_GB2312" w:cs="仿宋_GB2312" w:eastAsia="仿宋_GB2312"/>
                      <w:sz w:val="20"/>
                    </w:rPr>
                    <w:t>、云服务器需能提供稳定可靠、性能优异、灵活</w:t>
                  </w:r>
                  <w:r>
                    <w:rPr>
                      <w:rFonts w:ascii="仿宋_GB2312" w:hAnsi="仿宋_GB2312" w:cs="仿宋_GB2312" w:eastAsia="仿宋_GB2312"/>
                      <w:sz w:val="20"/>
                    </w:rPr>
                    <w:t>伸缩的弹性计</w:t>
                  </w:r>
                  <w:r>
                    <w:rPr>
                      <w:rFonts w:ascii="仿宋_GB2312" w:hAnsi="仿宋_GB2312" w:cs="仿宋_GB2312" w:eastAsia="仿宋_GB2312"/>
                      <w:sz w:val="20"/>
                    </w:rPr>
                    <w:t>算服务，且安全性、可靠性较高。</w:t>
                  </w:r>
                </w:p>
                <w:p>
                  <w:pPr>
                    <w:pStyle w:val="null3"/>
                    <w:jc w:val="both"/>
                  </w:pPr>
                  <w:r>
                    <w:rPr>
                      <w:rFonts w:ascii="仿宋_GB2312" w:hAnsi="仿宋_GB2312" w:cs="仿宋_GB2312" w:eastAsia="仿宋_GB2312"/>
                    </w:rPr>
                    <w:t>3</w:t>
                  </w:r>
                  <w:r>
                    <w:rPr>
                      <w:rFonts w:ascii="仿宋_GB2312" w:hAnsi="仿宋_GB2312" w:cs="仿宋_GB2312" w:eastAsia="仿宋_GB2312"/>
                      <w:sz w:val="20"/>
                    </w:rPr>
                    <w:t>、云服务器最高可以同时支持512核CPU&amp; 2TB内存配置，并提</w:t>
                  </w:r>
                  <w:r>
                    <w:rPr>
                      <w:rFonts w:ascii="仿宋_GB2312" w:hAnsi="仿宋_GB2312" w:cs="仿宋_GB2312" w:eastAsia="仿宋_GB2312"/>
                      <w:sz w:val="20"/>
                    </w:rPr>
                    <w:t>供标准型、计算型、高I0型、大数据机型、内存型、异构计算</w:t>
                  </w:r>
                  <w:r>
                    <w:rPr>
                      <w:rFonts w:ascii="仿宋_GB2312" w:hAnsi="仿宋_GB2312" w:cs="仿宋_GB2312" w:eastAsia="仿宋_GB2312"/>
                      <w:sz w:val="20"/>
                    </w:rPr>
                    <w:t>型、裸金属、高性能计算等云主机实例。</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rPr>
                    <w:t>4</w:t>
                  </w:r>
                  <w:r>
                    <w:rPr>
                      <w:rFonts w:ascii="仿宋_GB2312" w:hAnsi="仿宋_GB2312" w:cs="仿宋_GB2312" w:eastAsia="仿宋_GB2312"/>
                      <w:sz w:val="20"/>
                    </w:rPr>
                    <w:t>、单台云主机最高可挂8个弹性网卡、单网卡最高可绑定IP数</w:t>
                  </w:r>
                  <w:r>
                    <w:rPr>
                      <w:rFonts w:ascii="仿宋_GB2312" w:hAnsi="仿宋_GB2312" w:cs="仿宋_GB2312" w:eastAsia="仿宋_GB2312"/>
                      <w:sz w:val="21"/>
                    </w:rPr>
                    <w:t xml:space="preserve"> </w:t>
                  </w:r>
                  <w:r>
                    <w:rPr>
                      <w:rFonts w:ascii="仿宋_GB2312" w:hAnsi="仿宋_GB2312" w:cs="仿宋_GB2312" w:eastAsia="仿宋_GB2312"/>
                      <w:sz w:val="20"/>
                    </w:rPr>
                    <w:t>40个。</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rPr>
                    <w:t>5</w:t>
                  </w:r>
                  <w:r>
                    <w:rPr>
                      <w:rFonts w:ascii="仿宋_GB2312" w:hAnsi="仿宋_GB2312" w:cs="仿宋_GB2312" w:eastAsia="仿宋_GB2312"/>
                      <w:sz w:val="20"/>
                    </w:rPr>
                    <w:t>、操作系统支持镜像跨地域复制、支持跨账号共享镜像。</w:t>
                  </w:r>
                </w:p>
                <w:p>
                  <w:pPr>
                    <w:pStyle w:val="null3"/>
                    <w:jc w:val="both"/>
                  </w:pPr>
                  <w:r>
                    <w:rPr>
                      <w:rFonts w:ascii="仿宋_GB2312" w:hAnsi="仿宋_GB2312" w:cs="仿宋_GB2312" w:eastAsia="仿宋_GB2312"/>
                    </w:rPr>
                    <w:t>6、</w:t>
                  </w:r>
                  <w:r>
                    <w:rPr>
                      <w:rFonts w:ascii="仿宋_GB2312" w:hAnsi="仿宋_GB2312" w:cs="仿宋_GB2312" w:eastAsia="仿宋_GB2312"/>
                      <w:sz w:val="20"/>
                    </w:rPr>
                    <w:t>云硬盘，为云服务器提供的低时延、持久性、高可靠性的数</w:t>
                  </w:r>
                  <w:r>
                    <w:rPr>
                      <w:rFonts w:ascii="仿宋_GB2312" w:hAnsi="仿宋_GB2312" w:cs="仿宋_GB2312" w:eastAsia="仿宋_GB2312"/>
                      <w:sz w:val="21"/>
                    </w:rPr>
                    <w:t xml:space="preserve"> </w:t>
                  </w:r>
                  <w:r>
                    <w:rPr>
                      <w:rFonts w:ascii="仿宋_GB2312" w:hAnsi="仿宋_GB2312" w:cs="仿宋_GB2312" w:eastAsia="仿宋_GB2312"/>
                      <w:sz w:val="20"/>
                    </w:rPr>
                    <w:t>据块级存储。支持在线扩展容量，扩容期间无需关闭云服务器，无需卸载云盘；系统盘在线扩容不停业务。支持磁盘创建、删除、卸载、扩容、挂载、查询、初始化等功能，批量挂载，卸载磁盘。 支持三副本数据冗余保护，三副本模式下，数据三副本支持分布在3个机柜或3对接入交换机上。</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rPr>
                    <w:t>7</w:t>
                  </w:r>
                  <w:r>
                    <w:rPr>
                      <w:rFonts w:ascii="仿宋_GB2312" w:hAnsi="仿宋_GB2312" w:cs="仿宋_GB2312" w:eastAsia="仿宋_GB2312"/>
                      <w:sz w:val="20"/>
                    </w:rPr>
                    <w:t>、单个云硬盘最高支持3.2TB容量。</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台</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云数据库 Redis</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0"/>
                    </w:rPr>
                    <w:t>1、Redis标准架构1主1副本，内存4GB,完全兼容开源 Redis协议标准。云数据库Redis支持主从架构、集群架构、读写分离架构，能提供自动读写分离能力。</w:t>
                  </w:r>
                </w:p>
                <w:p>
                  <w:pPr>
                    <w:pStyle w:val="null3"/>
                    <w:jc w:val="both"/>
                  </w:pPr>
                  <w:r>
                    <w:rPr>
                      <w:rFonts w:ascii="仿宋_GB2312" w:hAnsi="仿宋_GB2312" w:cs="仿宋_GB2312" w:eastAsia="仿宋_GB2312"/>
                      <w:sz w:val="20"/>
                    </w:rPr>
                    <w:t>2、兼容4.x,5.x,6.x版本，支持平滑变配和跨版本升级，可不停业务执行。</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0"/>
                    </w:rPr>
                    <w:t>3、支持水平扩展分片，垂直扩展副本，多维度平滑扩容，无损扩展。</w:t>
                  </w:r>
                </w:p>
                <w:p>
                  <w:pPr>
                    <w:pStyle w:val="null3"/>
                    <w:jc w:val="both"/>
                  </w:pPr>
                  <w:r>
                    <w:rPr>
                      <w:rFonts w:ascii="仿宋_GB2312" w:hAnsi="仿宋_GB2312" w:cs="仿宋_GB2312" w:eastAsia="仿宋_GB2312"/>
                      <w:sz w:val="20"/>
                    </w:rPr>
                    <w:t>4、支持全架构监控，告警设置。</w:t>
                  </w:r>
                </w:p>
                <w:p>
                  <w:pPr>
                    <w:pStyle w:val="null3"/>
                    <w:jc w:val="both"/>
                  </w:pPr>
                  <w:r>
                    <w:rPr>
                      <w:rFonts w:ascii="仿宋_GB2312" w:hAnsi="仿宋_GB2312" w:cs="仿宋_GB2312" w:eastAsia="仿宋_GB2312"/>
                      <w:sz w:val="20"/>
                    </w:rPr>
                    <w:t>5、能够提供性能分析，包括：慢查询日志、实时会话、大KEY热KEY实时分析。</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套</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对象存储</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每月预估消耗；对象存储外网下行流量：2270GB</w:t>
                  </w:r>
                  <w:r>
                    <w:rPr>
                      <w:rFonts w:ascii="仿宋_GB2312" w:hAnsi="仿宋_GB2312" w:cs="仿宋_GB2312" w:eastAsia="仿宋_GB2312"/>
                      <w:sz w:val="20"/>
                    </w:rPr>
                    <w:t>,标准存储写</w:t>
                  </w:r>
                  <w:r>
                    <w:rPr>
                      <w:rFonts w:ascii="仿宋_GB2312" w:hAnsi="仿宋_GB2312" w:cs="仿宋_GB2312" w:eastAsia="仿宋_GB2312"/>
                      <w:sz w:val="20"/>
                    </w:rPr>
                    <w:t>请求：225.1788万次请求，标准存储：</w:t>
                  </w:r>
                  <w:r>
                    <w:rPr>
                      <w:rFonts w:ascii="仿宋_GB2312" w:hAnsi="仿宋_GB2312" w:cs="仿宋_GB2312" w:eastAsia="仿宋_GB2312"/>
                      <w:sz w:val="20"/>
                    </w:rPr>
                    <w:t>600TB,标准存储读请求：</w:t>
                  </w:r>
                  <w:r>
                    <w:rPr>
                      <w:rFonts w:ascii="仿宋_GB2312" w:hAnsi="仿宋_GB2312" w:cs="仿宋_GB2312" w:eastAsia="仿宋_GB2312"/>
                      <w:sz w:val="20"/>
                    </w:rPr>
                    <w:t>1000万次；低频存储容量：2PB;低</w:t>
                  </w:r>
                  <w:r>
                    <w:rPr>
                      <w:rFonts w:ascii="仿宋_GB2312" w:hAnsi="仿宋_GB2312" w:cs="仿宋_GB2312" w:eastAsia="仿宋_GB2312"/>
                      <w:sz w:val="20"/>
                    </w:rPr>
                    <w:t>频存储写请求：150万次；</w:t>
                  </w:r>
                  <w:r>
                    <w:rPr>
                      <w:rFonts w:ascii="仿宋_GB2312" w:hAnsi="仿宋_GB2312" w:cs="仿宋_GB2312" w:eastAsia="仿宋_GB2312"/>
                      <w:sz w:val="20"/>
                    </w:rPr>
                    <w:t>对象存储低频取回120GB;对象存储低频读请求60万次。</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套</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云数据库</w:t>
                  </w:r>
                  <w:r>
                    <w:rPr>
                      <w:rFonts w:ascii="仿宋_GB2312" w:hAnsi="仿宋_GB2312" w:cs="仿宋_GB2312" w:eastAsia="仿宋_GB2312"/>
                      <w:sz w:val="21"/>
                    </w:rPr>
                    <w:t xml:space="preserve"> </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1、双节点主备，4核8000</w:t>
                  </w:r>
                  <w:r>
                    <w:rPr>
                      <w:rFonts w:ascii="仿宋_GB2312" w:hAnsi="仿宋_GB2312" w:cs="仿宋_GB2312" w:eastAsia="仿宋_GB2312"/>
                      <w:sz w:val="20"/>
                    </w:rPr>
                    <w:t>MB</w:t>
                  </w:r>
                  <w:r>
                    <w:rPr>
                      <w:rFonts w:ascii="仿宋_GB2312" w:hAnsi="仿宋_GB2312" w:cs="仿宋_GB2312" w:eastAsia="仿宋_GB2312"/>
                      <w:sz w:val="20"/>
                    </w:rPr>
                    <w:t xml:space="preserve">内存，硬盘200 </w:t>
                  </w:r>
                  <w:r>
                    <w:rPr>
                      <w:rFonts w:ascii="仿宋_GB2312" w:hAnsi="仿宋_GB2312" w:cs="仿宋_GB2312" w:eastAsia="仿宋_GB2312"/>
                      <w:sz w:val="20"/>
                    </w:rPr>
                    <w:t>GB</w:t>
                  </w:r>
                  <w:r>
                    <w:rPr>
                      <w:rFonts w:ascii="仿宋_GB2312" w:hAnsi="仿宋_GB2312" w:cs="仿宋_GB2312" w:eastAsia="仿宋_GB2312"/>
                      <w:sz w:val="20"/>
                    </w:rPr>
                    <w:t>,提供用户自</w:t>
                  </w:r>
                </w:p>
                <w:p>
                  <w:pPr>
                    <w:pStyle w:val="null3"/>
                    <w:jc w:val="both"/>
                  </w:pPr>
                  <w:r>
                    <w:rPr>
                      <w:rFonts w:ascii="仿宋_GB2312" w:hAnsi="仿宋_GB2312" w:cs="仿宋_GB2312" w:eastAsia="仿宋_GB2312"/>
                      <w:sz w:val="20"/>
                    </w:rPr>
                    <w:t>服务门户和API接口，用户可自行创建不同规格的云数据库实例，</w:t>
                  </w:r>
                  <w:r>
                    <w:rPr>
                      <w:rFonts w:ascii="仿宋_GB2312" w:hAnsi="仿宋_GB2312" w:cs="仿宋_GB2312" w:eastAsia="仿宋_GB2312"/>
                      <w:sz w:val="21"/>
                    </w:rPr>
                    <w:t xml:space="preserve"> </w:t>
                  </w:r>
                  <w:r>
                    <w:rPr>
                      <w:rFonts w:ascii="仿宋_GB2312" w:hAnsi="仿宋_GB2312" w:cs="仿宋_GB2312" w:eastAsia="仿宋_GB2312"/>
                      <w:sz w:val="20"/>
                    </w:rPr>
                    <w:t>并提供云数据库实例的在线扩容、自定义备份、数据恢复、性能</w:t>
                  </w:r>
                  <w:r>
                    <w:rPr>
                      <w:rFonts w:ascii="仿宋_GB2312" w:hAnsi="仿宋_GB2312" w:cs="仿宋_GB2312" w:eastAsia="仿宋_GB2312"/>
                      <w:sz w:val="20"/>
                    </w:rPr>
                    <w:t>监测分析、异常告警、日志管理等功能。</w:t>
                  </w:r>
                </w:p>
                <w:p>
                  <w:pPr>
                    <w:pStyle w:val="null3"/>
                    <w:jc w:val="both"/>
                  </w:pPr>
                  <w:r>
                    <w:rPr>
                      <w:rFonts w:ascii="仿宋_GB2312" w:hAnsi="仿宋_GB2312" w:cs="仿宋_GB2312" w:eastAsia="仿宋_GB2312"/>
                      <w:sz w:val="20"/>
                    </w:rPr>
                    <w:t>2、采用全冗余架构，无单点故障；每个云数据库实例均实现主从热备；服务可用性不低于99.9%,服务可用性计算公式为：单</w:t>
                  </w:r>
                  <w:r>
                    <w:rPr>
                      <w:rFonts w:ascii="仿宋_GB2312" w:hAnsi="仿宋_GB2312" w:cs="仿宋_GB2312" w:eastAsia="仿宋_GB2312"/>
                      <w:sz w:val="20"/>
                    </w:rPr>
                    <w:t>个数据库实例每个服务周期所有可用时间/(单个数据库实例每</w:t>
                  </w:r>
                  <w:r>
                    <w:rPr>
                      <w:rFonts w:ascii="仿宋_GB2312" w:hAnsi="仿宋_GB2312" w:cs="仿宋_GB2312" w:eastAsia="仿宋_GB2312"/>
                      <w:sz w:val="20"/>
                    </w:rPr>
                    <w:t>个服务周期所有可用时间+单个数据库实例每个服务周期所有</w:t>
                  </w:r>
                  <w:r>
                    <w:rPr>
                      <w:rFonts w:ascii="仿宋_GB2312" w:hAnsi="仿宋_GB2312" w:cs="仿宋_GB2312" w:eastAsia="仿宋_GB2312"/>
                      <w:sz w:val="20"/>
                    </w:rPr>
                    <w:t>不可用时间);数据可靠性不低于99.99%。</w:t>
                  </w:r>
                </w:p>
                <w:p>
                  <w:pPr>
                    <w:pStyle w:val="null3"/>
                    <w:jc w:val="both"/>
                  </w:pPr>
                  <w:r>
                    <w:rPr>
                      <w:rFonts w:ascii="仿宋_GB2312" w:hAnsi="仿宋_GB2312" w:cs="仿宋_GB2312" w:eastAsia="仿宋_GB2312"/>
                      <w:sz w:val="20"/>
                    </w:rPr>
                    <w:t>3、随着访问数量的变化，用户可以在线动态调整数据库的规格，</w:t>
                  </w:r>
                  <w:r>
                    <w:rPr>
                      <w:rFonts w:ascii="仿宋_GB2312" w:hAnsi="仿宋_GB2312" w:cs="仿宋_GB2312" w:eastAsia="仿宋_GB2312"/>
                      <w:sz w:val="21"/>
                    </w:rPr>
                    <w:t xml:space="preserve"> </w:t>
                  </w:r>
                  <w:r>
                    <w:rPr>
                      <w:rFonts w:ascii="仿宋_GB2312" w:hAnsi="仿宋_GB2312" w:cs="仿宋_GB2312" w:eastAsia="仿宋_GB2312"/>
                      <w:sz w:val="20"/>
                    </w:rPr>
                    <w:t>包括内存、连接数、IOPS、存储容量等。</w:t>
                  </w:r>
                </w:p>
                <w:p>
                  <w:pPr>
                    <w:pStyle w:val="null3"/>
                    <w:jc w:val="both"/>
                  </w:pPr>
                  <w:r>
                    <w:rPr>
                      <w:rFonts w:ascii="仿宋_GB2312" w:hAnsi="仿宋_GB2312" w:cs="仿宋_GB2312" w:eastAsia="仿宋_GB2312"/>
                      <w:sz w:val="20"/>
                    </w:rPr>
                    <w:t>4、提供多副本、热备份的能力，确保主数</w:t>
                  </w:r>
                  <w:r>
                    <w:rPr>
                      <w:rFonts w:ascii="仿宋_GB2312" w:hAnsi="仿宋_GB2312" w:cs="仿宋_GB2312" w:eastAsia="仿宋_GB2312"/>
                      <w:sz w:val="20"/>
                    </w:rPr>
                    <w:t>据库节点失效后，备</w:t>
                  </w:r>
                  <w:r>
                    <w:rPr>
                      <w:rFonts w:ascii="仿宋_GB2312" w:hAnsi="仿宋_GB2312" w:cs="仿宋_GB2312" w:eastAsia="仿宋_GB2312"/>
                      <w:sz w:val="20"/>
                    </w:rPr>
                    <w:t>份节点自动接管，保证业务连续性。</w:t>
                  </w:r>
                </w:p>
                <w:p>
                  <w:pPr>
                    <w:pStyle w:val="null3"/>
                    <w:jc w:val="both"/>
                  </w:pPr>
                  <w:r>
                    <w:rPr>
                      <w:rFonts w:ascii="仿宋_GB2312" w:hAnsi="仿宋_GB2312" w:cs="仿宋_GB2312" w:eastAsia="仿宋_GB2312"/>
                      <w:sz w:val="20"/>
                    </w:rPr>
                    <w:t>5、云数据库服务支持在线平滑升级，计算能力、存储容量和总IO带宽同步线性扩容。</w:t>
                  </w:r>
                </w:p>
                <w:p>
                  <w:pPr>
                    <w:pStyle w:val="null3"/>
                    <w:jc w:val="both"/>
                  </w:pPr>
                  <w:r>
                    <w:rPr>
                      <w:rFonts w:ascii="仿宋_GB2312" w:hAnsi="仿宋_GB2312" w:cs="仿宋_GB2312" w:eastAsia="仿宋_GB2312"/>
                      <w:sz w:val="20"/>
                    </w:rPr>
                    <w:t>6、提供数据导入、导出工具，方便用户进行数据迁移；提供自</w:t>
                  </w:r>
                  <w:r>
                    <w:rPr>
                      <w:rFonts w:ascii="仿宋_GB2312" w:hAnsi="仿宋_GB2312" w:cs="仿宋_GB2312" w:eastAsia="仿宋_GB2312"/>
                      <w:sz w:val="20"/>
                    </w:rPr>
                    <w:t>动多重备份的机制；提供任意时间点的数据回溯功能。</w:t>
                  </w:r>
                </w:p>
                <w:p>
                  <w:pPr>
                    <w:pStyle w:val="null3"/>
                    <w:jc w:val="both"/>
                  </w:pPr>
                  <w:r>
                    <w:rPr>
                      <w:rFonts w:ascii="仿宋_GB2312" w:hAnsi="仿宋_GB2312" w:cs="仿宋_GB2312" w:eastAsia="仿宋_GB2312"/>
                      <w:sz w:val="20"/>
                    </w:rPr>
                    <w:t>7、提供性能监控功能，实现多种指标的监控管理能力。</w:t>
                  </w:r>
                </w:p>
                <w:p>
                  <w:pPr>
                    <w:pStyle w:val="null3"/>
                    <w:jc w:val="both"/>
                  </w:pPr>
                  <w:r>
                    <w:rPr>
                      <w:rFonts w:ascii="仿宋_GB2312" w:hAnsi="仿宋_GB2312" w:cs="仿宋_GB2312" w:eastAsia="仿宋_GB2312"/>
                      <w:sz w:val="20"/>
                    </w:rPr>
                    <w:t>8、提供数据库优化检测功能，包括：存储引擎检查、大表检查、</w:t>
                  </w:r>
                  <w:r>
                    <w:rPr>
                      <w:rFonts w:ascii="仿宋_GB2312" w:hAnsi="仿宋_GB2312" w:cs="仿宋_GB2312" w:eastAsia="仿宋_GB2312"/>
                      <w:sz w:val="20"/>
                    </w:rPr>
                    <w:t>无主键检查、索引过多表检查、缺失索引检查等。</w:t>
                  </w:r>
                </w:p>
                <w:p>
                  <w:pPr>
                    <w:pStyle w:val="null3"/>
                    <w:jc w:val="both"/>
                  </w:pPr>
                  <w:r>
                    <w:rPr>
                      <w:rFonts w:ascii="仿宋_GB2312" w:hAnsi="仿宋_GB2312" w:cs="仿宋_GB2312" w:eastAsia="仿宋_GB2312"/>
                      <w:sz w:val="20"/>
                    </w:rPr>
                    <w:t>9、提供完整的API接口、SDK开发包、文档说</w:t>
                  </w:r>
                  <w:r>
                    <w:rPr>
                      <w:rFonts w:ascii="仿宋_GB2312" w:hAnsi="仿宋_GB2312" w:cs="仿宋_GB2312" w:eastAsia="仿宋_GB2312"/>
                      <w:sz w:val="20"/>
                    </w:rPr>
                    <w:t>明。</w:t>
                  </w:r>
                </w:p>
                <w:p>
                  <w:pPr>
                    <w:pStyle w:val="null3"/>
                    <w:jc w:val="both"/>
                  </w:pPr>
                  <w:r>
                    <w:rPr>
                      <w:rFonts w:ascii="仿宋_GB2312" w:hAnsi="仿宋_GB2312" w:cs="仿宋_GB2312" w:eastAsia="仿宋_GB2312"/>
                      <w:sz w:val="20"/>
                    </w:rPr>
                    <w:t>10、提供读写分离功能，需要管理控制台提供一个读写分离地址，</w:t>
                  </w:r>
                  <w:r>
                    <w:rPr>
                      <w:rFonts w:ascii="仿宋_GB2312" w:hAnsi="仿宋_GB2312" w:cs="仿宋_GB2312" w:eastAsia="仿宋_GB2312"/>
                      <w:sz w:val="20"/>
                    </w:rPr>
                    <w:t>实现了自动的读写分离链路。即：应用程序只需连</w:t>
                  </w:r>
                  <w:r>
                    <w:rPr>
                      <w:rFonts w:ascii="仿宋_GB2312" w:hAnsi="仿宋_GB2312" w:cs="仿宋_GB2312" w:eastAsia="仿宋_GB2312"/>
                      <w:sz w:val="20"/>
                    </w:rPr>
                    <w:t>接同一个读写分离地址进行数据读取及写入操作，读写分离程序会自动将写入</w:t>
                  </w:r>
                  <w:r>
                    <w:rPr>
                      <w:rFonts w:ascii="仿宋_GB2312" w:hAnsi="仿宋_GB2312" w:cs="仿宋_GB2312" w:eastAsia="仿宋_GB2312"/>
                      <w:sz w:val="20"/>
                    </w:rPr>
                    <w:t>请求发往主实例，而将读取请求按照用户设置的权重发往各个只</w:t>
                  </w:r>
                  <w:r>
                    <w:rPr>
                      <w:rFonts w:ascii="仿宋_GB2312" w:hAnsi="仿宋_GB2312" w:cs="仿宋_GB2312" w:eastAsia="仿宋_GB2312"/>
                      <w:sz w:val="20"/>
                    </w:rPr>
                    <w:t>读实例。</w:t>
                  </w:r>
                </w:p>
                <w:p>
                  <w:pPr>
                    <w:pStyle w:val="null3"/>
                    <w:jc w:val="both"/>
                  </w:pPr>
                  <w:r>
                    <w:rPr>
                      <w:rFonts w:ascii="仿宋_GB2312" w:hAnsi="仿宋_GB2312" w:cs="仿宋_GB2312" w:eastAsia="仿宋_GB2312"/>
                      <w:sz w:val="20"/>
                    </w:rPr>
                    <w:t>11、具备完善的安全防护措施，支持白名单设</w:t>
                  </w:r>
                  <w:r>
                    <w:rPr>
                      <w:rFonts w:ascii="仿宋_GB2312" w:hAnsi="仿宋_GB2312" w:cs="仿宋_GB2312" w:eastAsia="仿宋_GB2312"/>
                      <w:sz w:val="20"/>
                    </w:rPr>
                    <w:t>置、防DDoS攻击、</w:t>
                  </w:r>
                  <w:r>
                    <w:rPr>
                      <w:rFonts w:ascii="仿宋_GB2312" w:hAnsi="仿宋_GB2312" w:cs="仿宋_GB2312" w:eastAsia="仿宋_GB2312"/>
                      <w:sz w:val="20"/>
                    </w:rPr>
                    <w:t>密码暴力攻击检测、SQL审计、SQL注入</w:t>
                  </w:r>
                  <w:r>
                    <w:rPr>
                      <w:rFonts w:ascii="仿宋_GB2312" w:hAnsi="仿宋_GB2312" w:cs="仿宋_GB2312" w:eastAsia="仿宋_GB2312"/>
                      <w:sz w:val="20"/>
                    </w:rPr>
                    <w:t>检测等功能。</w:t>
                  </w:r>
                </w:p>
                <w:p>
                  <w:pPr>
                    <w:pStyle w:val="null3"/>
                    <w:jc w:val="both"/>
                  </w:pPr>
                  <w:r>
                    <w:rPr>
                      <w:rFonts w:ascii="仿宋_GB2312" w:hAnsi="仿宋_GB2312" w:cs="仿宋_GB2312" w:eastAsia="仿宋_GB2312"/>
                      <w:sz w:val="20"/>
                    </w:rPr>
                    <w:t>12、提供监控预警功能，可根据设定的预警规则实时报警</w:t>
                  </w:r>
                </w:p>
                <w:p>
                  <w:pPr>
                    <w:pStyle w:val="null3"/>
                    <w:jc w:val="both"/>
                  </w:pPr>
                  <w:r>
                    <w:rPr>
                      <w:rFonts w:ascii="仿宋_GB2312" w:hAnsi="仿宋_GB2312" w:cs="仿宋_GB2312" w:eastAsia="仿宋_GB2312"/>
                      <w:sz w:val="20"/>
                    </w:rPr>
                    <w:t>13、支持IP授权访问，云服务端提供加密用户身份验证，提供</w:t>
                  </w:r>
                  <w:r>
                    <w:rPr>
                      <w:rFonts w:ascii="仿宋_GB2312" w:hAnsi="仿宋_GB2312" w:cs="仿宋_GB2312" w:eastAsia="仿宋_GB2312"/>
                      <w:sz w:val="20"/>
                    </w:rPr>
                    <w:t>不同的访问权限控制。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0"/>
                    </w:rPr>
                    <w:t>14、在管理控制台上提供一键式创建只读数据库的功能，创建后</w:t>
                  </w:r>
                  <w:r>
                    <w:rPr>
                      <w:rFonts w:ascii="仿宋_GB2312" w:hAnsi="仿宋_GB2312" w:cs="仿宋_GB2312" w:eastAsia="仿宋_GB2312"/>
                      <w:sz w:val="20"/>
                    </w:rPr>
                    <w:t>在主数据库和只读库之间自动同步数据。</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0"/>
                    </w:rPr>
                    <w:t>15、在管理控制台上提供一键式创建灾备库功能，创建后在主数</w:t>
                  </w:r>
                  <w:r>
                    <w:rPr>
                      <w:rFonts w:ascii="仿宋_GB2312" w:hAnsi="仿宋_GB2312" w:cs="仿宋_GB2312" w:eastAsia="仿宋_GB2312"/>
                      <w:sz w:val="21"/>
                    </w:rPr>
                    <w:t xml:space="preserve"> </w:t>
                  </w:r>
                  <w:r>
                    <w:rPr>
                      <w:rFonts w:ascii="仿宋_GB2312" w:hAnsi="仿宋_GB2312" w:cs="仿宋_GB2312" w:eastAsia="仿宋_GB2312"/>
                      <w:sz w:val="20"/>
                    </w:rPr>
                    <w:t>据库和灾备库之间自动实现跨地域数据同步。</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套</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块存储</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高性能云硬盘：1000G,2块；高性能云硬盘：200G,10块。</w:t>
                  </w:r>
                  <w:r>
                    <w:rPr>
                      <w:rFonts w:ascii="仿宋_GB2312" w:hAnsi="仿宋_GB2312" w:cs="仿宋_GB2312" w:eastAsia="仿宋_GB2312"/>
                      <w:sz w:val="21"/>
                    </w:rPr>
                    <w:t xml:space="preserve"> </w:t>
                  </w:r>
                  <w:r>
                    <w:rPr>
                      <w:rFonts w:ascii="仿宋_GB2312" w:hAnsi="仿宋_GB2312" w:cs="仿宋_GB2312" w:eastAsia="仿宋_GB2312"/>
                      <w:sz w:val="20"/>
                    </w:rPr>
                    <w:t>含快照功能，提供数据块级别的持久性存储能力。</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批</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NAT网关</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按量计费，支持IP地址转换服务，提供SNAT和DNAT能力</w:t>
                  </w:r>
                </w:p>
                <w:p>
                  <w:pPr>
                    <w:pStyle w:val="null3"/>
                    <w:jc w:val="both"/>
                  </w:pPr>
                  <w:r>
                    <w:rPr>
                      <w:rFonts w:ascii="仿宋_GB2312" w:hAnsi="仿宋_GB2312" w:cs="仿宋_GB2312" w:eastAsia="仿宋_GB2312"/>
                      <w:sz w:val="20"/>
                    </w:rPr>
                    <w:t>可为私有网络内的资源提供安全、高性能的Internet访问服务。可支持高达99.99%的高可用性。</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项</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点播</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按量计费，提供制作上传、存储、转码、媒体处理、媒体AI、 加速分发播放、版权保护等一体化高品质媒体服务。</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项</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Web应用防火墙</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1、提供WAF引擎集群。多区域多集群部署，支持旁挂负载均衡防护，可以快速弹性扩容。</w:t>
                  </w:r>
                  <w:r>
                    <w:br/>
                  </w:r>
                  <w:r>
                    <w:rPr>
                      <w:rFonts w:ascii="仿宋_GB2312" w:hAnsi="仿宋_GB2312" w:cs="仿宋_GB2312" w:eastAsia="仿宋_GB2312"/>
                      <w:sz w:val="20"/>
                    </w:rPr>
                    <w:t>2、提供日志实时存储和查询服务。</w:t>
                  </w:r>
                  <w:r>
                    <w:br/>
                  </w:r>
                  <w:r>
                    <w:rPr>
                      <w:rFonts w:ascii="仿宋_GB2312" w:hAnsi="仿宋_GB2312" w:cs="仿宋_GB2312" w:eastAsia="仿宋_GB2312"/>
                      <w:sz w:val="20"/>
                    </w:rPr>
                    <w:t>3、提供对OWASP典型攻击的双引擎防护能力。</w:t>
                  </w:r>
                  <w:r>
                    <w:br/>
                  </w:r>
                  <w:r>
                    <w:rPr>
                      <w:rFonts w:ascii="仿宋_GB2312" w:hAnsi="仿宋_GB2312" w:cs="仿宋_GB2312" w:eastAsia="仿宋_GB2312"/>
                      <w:sz w:val="20"/>
                    </w:rPr>
                    <w:t>4、支持对web攻击的多种编码还原能力。</w:t>
                  </w:r>
                  <w:r>
                    <w:br/>
                  </w:r>
                  <w:r>
                    <w:rPr>
                      <w:rFonts w:ascii="仿宋_GB2312" w:hAnsi="仿宋_GB2312" w:cs="仿宋_GB2312" w:eastAsia="仿宋_GB2312"/>
                      <w:sz w:val="20"/>
                    </w:rPr>
                    <w:t>5、支持用户站点设置隐私屏蔽。</w:t>
                  </w:r>
                  <w:r>
                    <w:br/>
                  </w:r>
                  <w:r>
                    <w:rPr>
                      <w:rFonts w:ascii="仿宋_GB2312" w:hAnsi="仿宋_GB2312" w:cs="仿宋_GB2312" w:eastAsia="仿宋_GB2312"/>
                      <w:sz w:val="20"/>
                    </w:rPr>
                    <w:t>6、支持对网站的HTTP、HTTPS流量进行Web安全防护。</w:t>
                  </w:r>
                  <w:r>
                    <w:br/>
                  </w:r>
                  <w:r>
                    <w:rPr>
                      <w:rFonts w:ascii="仿宋_GB2312" w:hAnsi="仿宋_GB2312" w:cs="仿宋_GB2312" w:eastAsia="仿宋_GB2312"/>
                      <w:sz w:val="20"/>
                    </w:rPr>
                    <w:t>▲7、支持0day补丁定期及时更新。</w:t>
                  </w:r>
                  <w:r>
                    <w:br/>
                  </w:r>
                  <w:r>
                    <w:rPr>
                      <w:rFonts w:ascii="仿宋_GB2312" w:hAnsi="仿宋_GB2312" w:cs="仿宋_GB2312" w:eastAsia="仿宋_GB2312"/>
                      <w:sz w:val="20"/>
                    </w:rPr>
                    <w:t>8、支持虚拟补丁一键下发能力。</w:t>
                  </w:r>
                  <w:r>
                    <w:br/>
                  </w:r>
                  <w:r>
                    <w:rPr>
                      <w:rFonts w:ascii="仿宋_GB2312" w:hAnsi="仿宋_GB2312" w:cs="仿宋_GB2312" w:eastAsia="仿宋_GB2312"/>
                      <w:sz w:val="20"/>
                    </w:rPr>
                    <w:t>9、支持CC防御/自定义策略/网页防篡改等高级功能。</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套</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w:t>
                  </w:r>
                </w:p>
                <w:p>
                  <w:pPr>
                    <w:pStyle w:val="null3"/>
                    <w:jc w:val="center"/>
                  </w:pPr>
                  <w:r>
                    <w:rPr>
                      <w:rFonts w:ascii="仿宋_GB2312" w:hAnsi="仿宋_GB2312" w:cs="仿宋_GB2312" w:eastAsia="仿宋_GB2312"/>
                      <w:sz w:val="20"/>
                    </w:rPr>
                    <w:t>保障</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提供大客户支持、安全服务保障服务</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项</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平台兼容</w:t>
                  </w:r>
                </w:p>
              </w:tc>
              <w:tc>
                <w:tcPr>
                  <w:tcW w:type="dxa" w:w="1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★投标人与应用供应商“宁波市甬慧在线诉讼研究院具有适配性并完全兼容，确保云资源平台能够适配和运行人民法院在线服务陕西分平台。</w:t>
                  </w:r>
                  <w:r>
                    <w:rPr>
                      <w:rFonts w:ascii="仿宋_GB2312" w:hAnsi="仿宋_GB2312" w:cs="仿宋_GB2312" w:eastAsia="仿宋_GB2312"/>
                      <w:sz w:val="20"/>
                      <w:b/>
                    </w:rPr>
                    <w:t>（</w:t>
                  </w:r>
                  <w:r>
                    <w:rPr>
                      <w:rFonts w:ascii="仿宋_GB2312" w:hAnsi="仿宋_GB2312" w:cs="仿宋_GB2312" w:eastAsia="仿宋_GB2312"/>
                      <w:sz w:val="20"/>
                      <w:b/>
                    </w:rPr>
                    <w:t>投标人须提供</w:t>
                  </w:r>
                  <w:r>
                    <w:rPr>
                      <w:rFonts w:ascii="仿宋_GB2312" w:hAnsi="仿宋_GB2312" w:cs="仿宋_GB2312" w:eastAsia="仿宋_GB2312"/>
                      <w:sz w:val="20"/>
                      <w:b/>
                    </w:rPr>
                    <w:t>与应用供应商“宁波市甬慧在线诉讼研究院具有适配性并完全兼容</w:t>
                  </w:r>
                  <w:r>
                    <w:rPr>
                      <w:rFonts w:ascii="仿宋_GB2312" w:hAnsi="仿宋_GB2312" w:cs="仿宋_GB2312" w:eastAsia="仿宋_GB2312"/>
                      <w:sz w:val="20"/>
                      <w:b/>
                    </w:rPr>
                    <w:t>的</w:t>
                  </w:r>
                  <w:r>
                    <w:rPr>
                      <w:rFonts w:ascii="仿宋_GB2312" w:hAnsi="仿宋_GB2312" w:cs="仿宋_GB2312" w:eastAsia="仿宋_GB2312"/>
                      <w:sz w:val="20"/>
                      <w:b/>
                    </w:rPr>
                    <w:t>相关证明材料。</w:t>
                  </w:r>
                  <w:r>
                    <w:rPr>
                      <w:rFonts w:ascii="仿宋_GB2312" w:hAnsi="仿宋_GB2312" w:cs="仿宋_GB2312" w:eastAsia="仿宋_GB2312"/>
                      <w:sz w:val="20"/>
                      <w:b/>
                    </w:rPr>
                    <w:t>）</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本项目政府采购工作，投标人须在陕西省政府采购电子化交易平台上传电子版投标文件并完成签章、加密，同时，线下递交纸质版投标文件正本一份、副本一份。若电子版投标文件与纸质版投标文件不一致的，以陕西省政府采购电子化交易平台上传的电子版投标文件为准。纸质版投标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的法人或其他组织或自然人，投标（响应）时提交有效的营业执照（或事业法人登记证或身份证等相关证明）复印件。分支机构参与的，须提供总公司和分公司营业执照复印件及总公司出具给分支机构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投标人不得列为信用中国网站(www.creditchina.gov.cn)“失信被执行人和重大税收违法案件当事人名单”的单位；不得列为中国政府采购网(www.ccgp.gov.cn)“政府采购严重违法失信行为信息记录”的单位；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资格证明文件.docx 服务偏离表.docx 分项报价表.docx 投标函 残疾人福利性单位声明函 业绩统计表.docx 标的清单 其他资料.docx 投标文件封面 报价表.docx 商务偏离表.docx 投标人承诺书.docx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其他资料.docx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平台兼容性</w:t>
            </w:r>
          </w:p>
        </w:tc>
        <w:tc>
          <w:tcPr>
            <w:tcW w:type="dxa" w:w="2492"/>
          </w:tcPr>
          <w:p>
            <w:pPr>
              <w:pStyle w:val="null3"/>
            </w:pPr>
            <w:r>
              <w:rPr>
                <w:rFonts w:ascii="仿宋_GB2312" w:hAnsi="仿宋_GB2312" w:cs="仿宋_GB2312" w:eastAsia="仿宋_GB2312"/>
              </w:rPr>
              <w:t>供应商根据人民法院在线服务陕西分平台当前运行情况提供良好的对接兼容方案：对接方案理解深刻，方案设计合理，对接平滑稳定，得4分，现状理解较好，方案合适，可得2分，一般得1分。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根据供应商针对本项目提供的实施方案进行评审，包括①服务周期内各项工作进度安排 ；②服务期内各项工作的进度保障措施 ；③设备供货安装、调试方案；④针对各类突发状况的不同应急措施等。以上4个方面，完全满足采购需求得10分，每有一处漏项扣2.5分，每有一处缺陷扣（0-2.4）分，扣完为止。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主要参数响应情况</w:t>
            </w:r>
          </w:p>
        </w:tc>
        <w:tc>
          <w:tcPr>
            <w:tcW w:type="dxa" w:w="2492"/>
          </w:tcPr>
          <w:p>
            <w:pPr>
              <w:pStyle w:val="null3"/>
            </w:pPr>
            <w:r>
              <w:rPr>
                <w:rFonts w:ascii="仿宋_GB2312" w:hAnsi="仿宋_GB2312" w:cs="仿宋_GB2312" w:eastAsia="仿宋_GB2312"/>
              </w:rPr>
              <w:t>所投产品技术参数完全符合满足采购需求参数表要求没有负偏离得满分。 1、所有标注“▲”的指标为重要技术指标，每有一项负偏离扣2分，扣完为止；（按指标项要求需提供产品说明书或官网截图（并提供官网链接）或白皮书等。） 2、其他未标注的指标，每有一项负偏离扣1分，扣完为止。 （备注：指标是否偏离以技术响应偏离表为准，其中需求中“★”项参数不允许负偏离并提供证明材料，否则视为未实质性响应招标文件，提供虚假响应或虚假资料的将承担法律责任。）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数据迁移</w:t>
            </w:r>
          </w:p>
        </w:tc>
        <w:tc>
          <w:tcPr>
            <w:tcW w:type="dxa" w:w="2492"/>
          </w:tcPr>
          <w:p>
            <w:pPr>
              <w:pStyle w:val="null3"/>
            </w:pPr>
            <w:r>
              <w:rPr>
                <w:rFonts w:ascii="仿宋_GB2312" w:hAnsi="仿宋_GB2312" w:cs="仿宋_GB2312" w:eastAsia="仿宋_GB2312"/>
              </w:rPr>
              <w:t>平台为在线运行中系统，根据实际需要，制定数据迁移方案进行评审，包括①迁移策略；②迁移技术方案；③迁移实施方案；④迁移数据安全保障；⑤迁移时限，24小时内完成得2分，每延迟24小时扣0.5分，扣完为止；以上5个方面，完全满足采购需求得10分，每有一处漏项扣2分，前4项每有一处缺陷扣（0-1.9）分，第5项每延迟24小时扣0.5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1.项目经理：具有信息系统项目管理师证书，得2分。 2.根据供应商针对本项目提供的项目团队配备方案进行评审，包括①投标人组织架构；②人员分工及岗位职责。以上2个方面，完全满足采购需求得8分，每有一处漏项扣4分，每有一处缺陷扣（0-3.9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针对本项目提供的售后服务方案进行评审，包括①维护保障方案；②服务体系；③保障团队制度；④运维流程。以上4个方面，完全满足采购需求得16分，每有一处漏项扣4分，每有一处缺陷扣（0-3.9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1、为保障云服务交付服务质量，要求提供ISO20000信息技术服务管理体系认证证书、ISO27001信息安全管理体系认证证书。提供1项得0.5分，最高得1分，不提供不得分； 2、提供IaaS、PaaS 平台等保三级备案证明，提供1项得1分，最高得2分，不提供不得分； 3、对本项目提供的产品需提供可信云服务评估证书，包括云服务用户数据保护能力、云主机服务能力、容器平台安全能力、应用托管容器服务能力、云防火墙能力、云Web应用防火墙安全能力，提供1项得0.5分，最高得3分，不提供不得分。 4、国家信息安全测评的信息安全服务资质证书（数据安全类、风险评估类），提供1个得1分，满分2分，提供证书复印件及官网http://www.itsec.gov.cn 查询截图加盖公章，不提供或未按要求提供的不得分。 5、需具有ITSS 信息技术服务标准云服务(IAAS 公有云)壹级认证证书，得 2分，提供证书复印件加盖公章，不提供不得分。 以上资料需提供投标人证书复印件并加盖公章，否则不得分。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自2022年1月1日以来（以合同签订时间为准），投标人承担过类似项目业绩的，每提供一个项目得2分，最高得10分。 注：业绩证明材料以合同的复印件或扫描件加盖公章为准，业绩证明材料不符合要求的不得分。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 10分。（因落实政府采购政策进行价格调整的，以调整后的价格计算评标基准价和投标报价）其他投标人的价格分按照下列公式计算：投标报价得分＝（评标基准价/投标报价）×10。价格得分四舍五入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