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DE0B5">
      <w:pPr>
        <w:widowControl/>
        <w:kinsoku w:val="0"/>
        <w:autoSpaceDE w:val="0"/>
        <w:autoSpaceDN w:val="0"/>
        <w:adjustRightInd w:val="0"/>
        <w:snapToGrid w:val="0"/>
        <w:spacing w:line="240" w:lineRule="auto"/>
        <w:jc w:val="left"/>
        <w:textAlignment w:val="baseline"/>
        <w:rPr>
          <w:rFonts w:hint="default" w:ascii="宋体" w:hAnsi="宋体" w:eastAsia="宋体" w:cs="宋体"/>
          <w:b/>
          <w:bCs/>
          <w:snapToGrid w:val="0"/>
          <w:color w:val="auto"/>
          <w:kern w:val="0"/>
          <w:sz w:val="30"/>
          <w:szCs w:val="30"/>
          <w:highlight w:val="none"/>
          <w:lang w:val="en-US" w:eastAsia="zh-CN"/>
        </w:rPr>
      </w:pPr>
      <w:r>
        <w:rPr>
          <w:rFonts w:hint="eastAsia" w:ascii="宋体" w:hAnsi="宋体" w:cs="宋体"/>
          <w:b/>
          <w:bCs/>
          <w:snapToGrid w:val="0"/>
          <w:color w:val="auto"/>
          <w:kern w:val="0"/>
          <w:sz w:val="30"/>
          <w:szCs w:val="30"/>
          <w:highlight w:val="none"/>
          <w:lang w:val="en-US" w:eastAsia="zh-CN"/>
        </w:rPr>
        <w:t xml:space="preserve">政府采购项目        </w:t>
      </w:r>
      <w:r>
        <w:rPr>
          <w:rFonts w:hint="eastAsia" w:ascii="宋体" w:hAnsi="宋体" w:eastAsia="宋体" w:cs="宋体"/>
          <w:b/>
          <w:bCs/>
          <w:snapToGrid w:val="0"/>
          <w:color w:val="auto"/>
          <w:kern w:val="0"/>
          <w:sz w:val="30"/>
          <w:szCs w:val="30"/>
          <w:highlight w:val="none"/>
          <w:lang w:eastAsia="en-US"/>
        </w:rPr>
        <w:t xml:space="preserve">                    合同编号：</w:t>
      </w:r>
    </w:p>
    <w:p w14:paraId="14EEFEB2">
      <w:pPr>
        <w:pStyle w:val="3"/>
        <w:spacing w:beforeLines="0" w:line="500" w:lineRule="exact"/>
        <w:rPr>
          <w:rFonts w:hint="eastAsia" w:ascii="宋体" w:hAnsi="宋体" w:eastAsia="宋体" w:cs="宋体"/>
          <w:b/>
          <w:bCs/>
          <w:color w:val="auto"/>
          <w:sz w:val="28"/>
          <w:szCs w:val="28"/>
          <w:highlight w:val="none"/>
        </w:rPr>
      </w:pPr>
    </w:p>
    <w:p w14:paraId="6B377A9C">
      <w:pPr>
        <w:rPr>
          <w:rFonts w:ascii="仿宋" w:hAnsi="仿宋" w:eastAsia="仿宋" w:cs="仿宋"/>
          <w:b/>
          <w:bCs/>
          <w:color w:val="auto"/>
          <w:sz w:val="30"/>
          <w:szCs w:val="30"/>
          <w:highlight w:val="none"/>
          <w:lang w:eastAsia="zh-CN"/>
        </w:rPr>
      </w:pPr>
    </w:p>
    <w:p w14:paraId="6674D67C">
      <w:pPr>
        <w:pStyle w:val="6"/>
        <w:rPr>
          <w:rFonts w:ascii="仿宋" w:hAnsi="仿宋" w:eastAsia="仿宋" w:cs="仿宋"/>
          <w:b/>
          <w:bCs/>
          <w:color w:val="auto"/>
          <w:sz w:val="30"/>
          <w:szCs w:val="30"/>
          <w:highlight w:val="none"/>
          <w:lang w:eastAsia="zh-CN"/>
        </w:rPr>
      </w:pPr>
    </w:p>
    <w:p w14:paraId="5C3181F3">
      <w:pPr>
        <w:pStyle w:val="6"/>
        <w:rPr>
          <w:rFonts w:ascii="仿宋" w:hAnsi="仿宋" w:eastAsia="仿宋" w:cs="仿宋"/>
          <w:b/>
          <w:bCs/>
          <w:color w:val="auto"/>
          <w:sz w:val="30"/>
          <w:szCs w:val="30"/>
          <w:highlight w:val="none"/>
          <w:lang w:eastAsia="zh-CN"/>
        </w:rPr>
      </w:pPr>
    </w:p>
    <w:p w14:paraId="0E059E66">
      <w:pPr>
        <w:rPr>
          <w:color w:val="auto"/>
          <w:highlight w:val="none"/>
          <w:lang w:eastAsia="zh-CN"/>
        </w:rPr>
      </w:pPr>
    </w:p>
    <w:p w14:paraId="411C73E6">
      <w:pPr>
        <w:pStyle w:val="3"/>
        <w:rPr>
          <w:rFonts w:ascii="仿宋" w:hAnsi="仿宋" w:eastAsia="仿宋" w:cs="仿宋"/>
          <w:color w:val="auto"/>
          <w:highlight w:val="none"/>
          <w:lang w:eastAsia="zh-CN"/>
        </w:rPr>
      </w:pPr>
    </w:p>
    <w:p w14:paraId="1B1989F2">
      <w:pPr>
        <w:pStyle w:val="3"/>
        <w:ind w:left="0" w:leftChars="0" w:hanging="7" w:firstLineChars="0"/>
        <w:jc w:val="center"/>
        <w:rPr>
          <w:rFonts w:ascii="仿宋" w:hAnsi="仿宋" w:eastAsia="仿宋" w:cs="仿宋"/>
          <w:color w:val="auto"/>
          <w:highlight w:val="none"/>
          <w:lang w:eastAsia="zh-CN"/>
        </w:rPr>
      </w:pPr>
      <w:r>
        <w:rPr>
          <w:rFonts w:hint="eastAsia" w:ascii="宋体" w:hAnsi="宋体" w:cs="宋体"/>
          <w:b/>
          <w:bCs/>
          <w:color w:val="auto"/>
          <w:kern w:val="0"/>
          <w:sz w:val="44"/>
          <w:szCs w:val="44"/>
          <w:highlight w:val="none"/>
          <w:u w:val="none"/>
          <w:lang w:eastAsia="zh-CN"/>
        </w:rPr>
        <w:t>（</w:t>
      </w:r>
      <w:r>
        <w:rPr>
          <w:rFonts w:hint="eastAsia" w:ascii="宋体" w:hAnsi="宋体" w:cs="宋体"/>
          <w:b/>
          <w:bCs/>
          <w:color w:val="auto"/>
          <w:kern w:val="0"/>
          <w:sz w:val="44"/>
          <w:szCs w:val="44"/>
          <w:highlight w:val="none"/>
          <w:u w:val="none"/>
          <w:lang w:val="en-US" w:eastAsia="zh-CN"/>
        </w:rPr>
        <w:t>项目名称</w:t>
      </w:r>
      <w:r>
        <w:rPr>
          <w:rFonts w:hint="eastAsia" w:ascii="宋体" w:hAnsi="宋体" w:cs="宋体"/>
          <w:b/>
          <w:bCs/>
          <w:color w:val="auto"/>
          <w:kern w:val="0"/>
          <w:sz w:val="44"/>
          <w:szCs w:val="44"/>
          <w:highlight w:val="none"/>
          <w:u w:val="none"/>
          <w:lang w:eastAsia="zh-CN"/>
        </w:rPr>
        <w:t>）</w:t>
      </w:r>
      <w:r>
        <w:rPr>
          <w:rFonts w:hint="eastAsia" w:ascii="宋体" w:hAnsi="宋体" w:eastAsia="宋体" w:cs="宋体"/>
          <w:b/>
          <w:bCs/>
          <w:color w:val="auto"/>
          <w:kern w:val="0"/>
          <w:sz w:val="44"/>
          <w:szCs w:val="44"/>
          <w:highlight w:val="none"/>
          <w:u w:val="none"/>
          <w:lang w:eastAsia="en-US"/>
        </w:rPr>
        <w:t>服务合同</w:t>
      </w:r>
    </w:p>
    <w:p w14:paraId="7219B020">
      <w:pPr>
        <w:rPr>
          <w:rFonts w:ascii="仿宋" w:hAnsi="仿宋" w:eastAsia="仿宋" w:cs="仿宋"/>
          <w:color w:val="auto"/>
          <w:highlight w:val="none"/>
          <w:lang w:eastAsia="zh-CN"/>
        </w:rPr>
      </w:pPr>
    </w:p>
    <w:p w14:paraId="41645A1B">
      <w:pPr>
        <w:rPr>
          <w:rFonts w:ascii="仿宋" w:hAnsi="仿宋" w:eastAsia="仿宋" w:cs="仿宋"/>
          <w:color w:val="auto"/>
          <w:highlight w:val="none"/>
          <w:lang w:eastAsia="zh-CN"/>
        </w:rPr>
      </w:pPr>
    </w:p>
    <w:p w14:paraId="129DA3C9">
      <w:pP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14:paraId="090A3445">
      <w:pPr>
        <w:jc w:val="center"/>
        <w:rPr>
          <w:rFonts w:ascii="仿宋" w:hAnsi="仿宋" w:eastAsia="仿宋" w:cs="仿宋"/>
          <w:b/>
          <w:color w:val="auto"/>
          <w:sz w:val="36"/>
          <w:szCs w:val="36"/>
          <w:highlight w:val="none"/>
          <w:lang w:eastAsia="zh-CN"/>
        </w:rPr>
      </w:pPr>
    </w:p>
    <w:p w14:paraId="5F0423FA">
      <w:pPr>
        <w:jc w:val="center"/>
        <w:rPr>
          <w:rFonts w:ascii="仿宋" w:hAnsi="仿宋" w:eastAsia="仿宋" w:cs="仿宋"/>
          <w:b/>
          <w:color w:val="auto"/>
          <w:sz w:val="36"/>
          <w:szCs w:val="36"/>
          <w:highlight w:val="none"/>
          <w:lang w:eastAsia="zh-CN"/>
        </w:rPr>
      </w:pPr>
    </w:p>
    <w:p w14:paraId="22D58A6D">
      <w:pPr>
        <w:rPr>
          <w:rFonts w:ascii="仿宋" w:hAnsi="仿宋" w:eastAsia="仿宋" w:cs="仿宋"/>
          <w:b/>
          <w:color w:val="auto"/>
          <w:sz w:val="36"/>
          <w:szCs w:val="36"/>
          <w:highlight w:val="none"/>
          <w:lang w:eastAsia="zh-CN"/>
        </w:rPr>
      </w:pPr>
    </w:p>
    <w:p w14:paraId="30CB958C">
      <w:pPr>
        <w:spacing w:before="156" w:beforeLines="50" w:line="360" w:lineRule="auto"/>
        <w:jc w:val="center"/>
        <w:rPr>
          <w:rFonts w:ascii="仿宋" w:hAnsi="仿宋" w:eastAsia="仿宋" w:cs="仿宋"/>
          <w:b/>
          <w:bCs/>
          <w:color w:val="auto"/>
          <w:sz w:val="36"/>
          <w:szCs w:val="36"/>
          <w:highlight w:val="none"/>
          <w:lang w:eastAsia="zh-CN"/>
        </w:rPr>
      </w:pPr>
    </w:p>
    <w:p w14:paraId="7C35E6F3">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lang w:eastAsia="en-US"/>
        </w:rPr>
      </w:pPr>
    </w:p>
    <w:p w14:paraId="62FA6A59">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采购人：陕西省公路局</w:t>
      </w:r>
    </w:p>
    <w:p w14:paraId="0B651040">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u w:val="none"/>
          <w:lang w:eastAsia="en-US"/>
        </w:rPr>
      </w:pPr>
      <w:r>
        <w:rPr>
          <w:rFonts w:hint="eastAsia" w:ascii="宋体" w:hAnsi="宋体" w:eastAsia="宋体" w:cs="宋体"/>
          <w:b/>
          <w:bCs/>
          <w:snapToGrid w:val="0"/>
          <w:color w:val="auto"/>
          <w:kern w:val="0"/>
          <w:sz w:val="32"/>
          <w:szCs w:val="32"/>
          <w:highlight w:val="none"/>
          <w:lang w:eastAsia="en-US"/>
        </w:rPr>
        <w:t>供应商：</w:t>
      </w:r>
    </w:p>
    <w:p w14:paraId="6BB30DEA">
      <w:pPr>
        <w:spacing w:line="500" w:lineRule="exact"/>
        <w:jc w:val="center"/>
        <w:rPr>
          <w:rFonts w:ascii="仿宋" w:hAnsi="仿宋" w:eastAsia="仿宋" w:cs="仿宋"/>
          <w:b/>
          <w:bCs/>
          <w:color w:val="auto"/>
          <w:sz w:val="36"/>
          <w:szCs w:val="36"/>
          <w:highlight w:val="none"/>
          <w:lang w:eastAsia="zh-CN"/>
        </w:rPr>
      </w:pPr>
      <w:r>
        <w:rPr>
          <w:rFonts w:hint="eastAsia" w:ascii="宋体" w:hAnsi="宋体" w:eastAsia="宋体" w:cs="宋体"/>
          <w:b/>
          <w:bCs/>
          <w:snapToGrid w:val="0"/>
          <w:color w:val="auto"/>
          <w:kern w:val="0"/>
          <w:sz w:val="32"/>
          <w:szCs w:val="32"/>
          <w:highlight w:val="none"/>
          <w:lang w:eastAsia="en-US"/>
        </w:rPr>
        <w:t>二〇二</w:t>
      </w:r>
      <w:r>
        <w:rPr>
          <w:rFonts w:hint="eastAsia" w:ascii="宋体" w:hAnsi="宋体" w:eastAsia="宋体" w:cs="宋体"/>
          <w:b/>
          <w:bCs/>
          <w:snapToGrid w:val="0"/>
          <w:color w:val="auto"/>
          <w:kern w:val="0"/>
          <w:sz w:val="32"/>
          <w:szCs w:val="32"/>
          <w:highlight w:val="none"/>
          <w:lang w:val="en-US" w:eastAsia="zh-CN"/>
        </w:rPr>
        <w:t>五</w:t>
      </w:r>
      <w:r>
        <w:rPr>
          <w:rFonts w:hint="eastAsia" w:ascii="宋体" w:hAnsi="宋体" w:eastAsia="宋体" w:cs="宋体"/>
          <w:b/>
          <w:bCs/>
          <w:snapToGrid w:val="0"/>
          <w:color w:val="auto"/>
          <w:kern w:val="0"/>
          <w:sz w:val="32"/>
          <w:szCs w:val="32"/>
          <w:highlight w:val="none"/>
          <w:lang w:eastAsia="en-US"/>
        </w:rPr>
        <w:t>年</w:t>
      </w:r>
      <w:r>
        <w:rPr>
          <w:rFonts w:hint="eastAsia" w:ascii="宋体" w:hAnsi="宋体" w:cs="宋体"/>
          <w:b/>
          <w:bCs/>
          <w:snapToGrid w:val="0"/>
          <w:color w:val="auto"/>
          <w:kern w:val="0"/>
          <w:sz w:val="32"/>
          <w:szCs w:val="32"/>
          <w:highlight w:val="none"/>
          <w:lang w:val="en-US" w:eastAsia="zh-CN"/>
        </w:rPr>
        <w:t xml:space="preserve">   </w:t>
      </w:r>
      <w:r>
        <w:rPr>
          <w:rFonts w:hint="eastAsia" w:ascii="宋体" w:hAnsi="宋体" w:eastAsia="宋体" w:cs="宋体"/>
          <w:b/>
          <w:bCs/>
          <w:snapToGrid w:val="0"/>
          <w:color w:val="auto"/>
          <w:kern w:val="0"/>
          <w:sz w:val="32"/>
          <w:szCs w:val="32"/>
          <w:highlight w:val="none"/>
          <w:lang w:eastAsia="en-US"/>
        </w:rPr>
        <w:t>月</w:t>
      </w:r>
      <w:r>
        <w:rPr>
          <w:rFonts w:hint="eastAsia" w:ascii="仿宋" w:hAnsi="仿宋" w:eastAsia="仿宋" w:cs="仿宋"/>
          <w:b/>
          <w:bCs/>
          <w:color w:val="auto"/>
          <w:sz w:val="36"/>
          <w:szCs w:val="36"/>
          <w:highlight w:val="none"/>
          <w:lang w:eastAsia="zh-CN"/>
        </w:rPr>
        <w:br w:type="page"/>
      </w:r>
    </w:p>
    <w:p w14:paraId="4C292A8C">
      <w:pPr>
        <w:adjustRightInd w:val="0"/>
        <w:snapToGrid w:val="0"/>
        <w:spacing w:line="360" w:lineRule="auto"/>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合同协议书</w:t>
      </w:r>
    </w:p>
    <w:p w14:paraId="21D6E64E">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采购人（甲方）：</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single"/>
        </w:rPr>
        <w:t xml:space="preserve">                </w:t>
      </w:r>
    </w:p>
    <w:p w14:paraId="7698C0FB">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供应商（乙方）：</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single"/>
        </w:rPr>
        <w:t xml:space="preserve">      </w:t>
      </w:r>
    </w:p>
    <w:p w14:paraId="3D2C63D2">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根据《中华人民共和国民法典》及其他有关法律、法规，遵循平等、自愿、公平和诚信的原则，双方就下述项目范围与相关服务事项协商一致，订立本合同。</w:t>
      </w:r>
    </w:p>
    <w:p w14:paraId="7F2B955A">
      <w:pPr>
        <w:keepNext w:val="0"/>
        <w:keepLines w:val="0"/>
        <w:pageBreakBefore w:val="0"/>
        <w:widowControl w:val="0"/>
        <w:numPr>
          <w:ilvl w:val="0"/>
          <w:numId w:val="1"/>
        </w:numPr>
        <w:kinsoku/>
        <w:wordWrap/>
        <w:overflowPunct/>
        <w:topLinePunct w:val="0"/>
        <w:autoSpaceDE/>
        <w:autoSpaceDN/>
        <w:bidi w:val="0"/>
        <w:spacing w:line="500" w:lineRule="exact"/>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项目概况</w:t>
      </w:r>
    </w:p>
    <w:p w14:paraId="5909B94E">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按照财政部、交通运输部联合印发的《关于车辆购置税收入补助地方资金暂行管理办法》的通知及《农村公路基础设施统计调查制度》要求，进一步梳理完善全省农村公路安防需求底数，满足农村公路“以奖代补”考核工作要求，开展全省新增省道、县乡公路以及2024年新增村道的安防护栏工程需求核查。</w:t>
      </w:r>
    </w:p>
    <w:p w14:paraId="4A7FABD4">
      <w:pPr>
        <w:keepNext w:val="0"/>
        <w:keepLines w:val="0"/>
        <w:pageBreakBefore w:val="0"/>
        <w:widowControl w:val="0"/>
        <w:kinsoku/>
        <w:wordWrap/>
        <w:overflowPunct/>
        <w:topLinePunct w:val="0"/>
        <w:autoSpaceDE/>
        <w:autoSpaceDN/>
        <w:bidi w:val="0"/>
        <w:spacing w:line="500" w:lineRule="exact"/>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第二条 组成本合同的文件</w:t>
      </w:r>
    </w:p>
    <w:p w14:paraId="6F8DB595">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2.1协议书；</w:t>
      </w:r>
    </w:p>
    <w:p w14:paraId="27892652">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2.2中标通知书、</w:t>
      </w:r>
      <w:r>
        <w:rPr>
          <w:rFonts w:hint="eastAsia" w:ascii="宋体" w:hAnsi="宋体" w:eastAsia="宋体" w:cs="宋体"/>
          <w:color w:val="auto"/>
          <w:sz w:val="28"/>
          <w:szCs w:val="28"/>
          <w:highlight w:val="none"/>
          <w:lang w:eastAsia="zh-CN"/>
        </w:rPr>
        <w:t>投标文件</w:t>
      </w:r>
      <w:r>
        <w:rPr>
          <w:rFonts w:hint="eastAsia" w:ascii="宋体" w:hAnsi="宋体" w:eastAsia="宋体" w:cs="宋体"/>
          <w:color w:val="auto"/>
          <w:sz w:val="28"/>
          <w:szCs w:val="28"/>
          <w:highlight w:val="none"/>
        </w:rPr>
        <w:t>、招标文件；</w:t>
      </w:r>
    </w:p>
    <w:p w14:paraId="3C1C8156">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本合同签订后，双方依法签订的补充协议也是本合同文件的组成部分。</w:t>
      </w:r>
    </w:p>
    <w:p w14:paraId="227E3021">
      <w:pPr>
        <w:keepNext w:val="0"/>
        <w:keepLines w:val="0"/>
        <w:pageBreakBefore w:val="0"/>
        <w:widowControl w:val="0"/>
        <w:kinsoku/>
        <w:wordWrap/>
        <w:overflowPunct/>
        <w:topLinePunct w:val="0"/>
        <w:autoSpaceDE/>
        <w:autoSpaceDN/>
        <w:bidi w:val="0"/>
        <w:spacing w:line="500" w:lineRule="exact"/>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第三条 合同金额</w:t>
      </w:r>
    </w:p>
    <w:p w14:paraId="19C928A2">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合同总价（含税金额）：人民币（大写）</w:t>
      </w:r>
      <w:r>
        <w:rPr>
          <w:rFonts w:hint="eastAsia" w:ascii="宋体" w:hAnsi="宋体" w:eastAsia="宋体" w:cs="宋体"/>
          <w:bCs/>
          <w:color w:val="auto"/>
          <w:sz w:val="28"/>
          <w:szCs w:val="28"/>
          <w:highlight w:val="none"/>
          <w:u w:val="single"/>
        </w:rPr>
        <w:t xml:space="preserve">        （￥      ）</w:t>
      </w:r>
      <w:r>
        <w:rPr>
          <w:rFonts w:hint="eastAsia" w:ascii="宋体" w:hAnsi="宋体" w:eastAsia="宋体" w:cs="宋体"/>
          <w:bCs/>
          <w:color w:val="auto"/>
          <w:sz w:val="28"/>
          <w:szCs w:val="28"/>
          <w:highlight w:val="none"/>
        </w:rPr>
        <w:t>。</w:t>
      </w:r>
    </w:p>
    <w:p w14:paraId="513956E1">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合同总价即成交价，为一次性报价，不受市场价变化影响。合同总价为含税价，成交供应商提供服务所发生的一切税（包括增值税）费等都已包含于合同总价中。</w:t>
      </w:r>
    </w:p>
    <w:p w14:paraId="6615CD62">
      <w:pPr>
        <w:keepNext w:val="0"/>
        <w:keepLines w:val="0"/>
        <w:pageBreakBefore w:val="0"/>
        <w:widowControl w:val="0"/>
        <w:kinsoku/>
        <w:wordWrap/>
        <w:overflowPunct/>
        <w:topLinePunct w:val="0"/>
        <w:autoSpaceDE/>
        <w:autoSpaceDN/>
        <w:bidi w:val="0"/>
        <w:spacing w:line="500" w:lineRule="exact"/>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第四条 结算方式</w:t>
      </w:r>
    </w:p>
    <w:p w14:paraId="3A8AC7DC">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4.1结算单位：银行转账，由甲方负责结算。在付款前，乙方必须向甲方提供等额的增值税发票。</w:t>
      </w:r>
    </w:p>
    <w:p w14:paraId="3AC505DE">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4.2付款方式：</w:t>
      </w:r>
    </w:p>
    <w:p w14:paraId="43D485C5">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合同签订前，乙方须向甲方缴纳合同总金额5%的履约保证金，履约保证金待乙方履行完毕全部合同义务，并经甲方履约验收合格，无任何纠纷后无息退还。</w:t>
      </w:r>
    </w:p>
    <w:p w14:paraId="78FD0C8B">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合同签订后，甲方收到履约保证金及增值税普通发票后，甲方支付乙方合同总金额的 60.00% ；乙方完成内业及外业核查并出具核查报告 ，支付合同总金额的 30.00%；乙方完成全部合同内容，并提交相应成果资料后，支付合同总金额的10.00%。</w:t>
      </w:r>
    </w:p>
    <w:p w14:paraId="46FA0B86">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甲方付款前，乙方应开具符合要求的发票，否则甲方有权拒绝付款且不承担迟延支付的违约责任。</w:t>
      </w:r>
    </w:p>
    <w:p w14:paraId="08478032">
      <w:pPr>
        <w:keepNext w:val="0"/>
        <w:keepLines w:val="0"/>
        <w:pageBreakBefore w:val="0"/>
        <w:widowControl w:val="0"/>
        <w:kinsoku/>
        <w:wordWrap/>
        <w:overflowPunct/>
        <w:topLinePunct w:val="0"/>
        <w:autoSpaceDE/>
        <w:autoSpaceDN/>
        <w:bidi w:val="0"/>
        <w:spacing w:line="500" w:lineRule="exact"/>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第五条 服务期</w:t>
      </w:r>
    </w:p>
    <w:p w14:paraId="49FADE3F">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bCs/>
          <w:color w:val="auto"/>
          <w:sz w:val="28"/>
          <w:szCs w:val="28"/>
          <w:highlight w:val="none"/>
          <w:lang w:eastAsia="zh-CN"/>
        </w:rPr>
      </w:pPr>
      <w:r>
        <w:rPr>
          <w:rFonts w:hint="eastAsia" w:ascii="宋体" w:hAnsi="宋体" w:eastAsia="宋体" w:cs="宋体"/>
          <w:bCs/>
          <w:color w:val="auto"/>
          <w:sz w:val="28"/>
          <w:szCs w:val="28"/>
          <w:highlight w:val="none"/>
        </w:rPr>
        <w:t>自合同签订之日起一年</w:t>
      </w:r>
      <w:r>
        <w:rPr>
          <w:rFonts w:hint="eastAsia" w:ascii="宋体" w:hAnsi="宋体" w:cs="宋体"/>
          <w:bCs/>
          <w:color w:val="auto"/>
          <w:sz w:val="28"/>
          <w:szCs w:val="28"/>
          <w:highlight w:val="none"/>
          <w:lang w:eastAsia="zh-CN"/>
        </w:rPr>
        <w:t>。</w:t>
      </w:r>
      <w:r>
        <w:rPr>
          <w:rFonts w:hint="eastAsia" w:ascii="宋体" w:hAnsi="宋体" w:eastAsia="宋体" w:cs="宋体"/>
          <w:bCs/>
          <w:color w:val="auto"/>
          <w:sz w:val="28"/>
          <w:szCs w:val="28"/>
          <w:highlight w:val="none"/>
          <w:lang w:eastAsia="zh-CN"/>
        </w:rPr>
        <w:t>三个月之内</w:t>
      </w:r>
      <w:r>
        <w:rPr>
          <w:rFonts w:hint="eastAsia" w:ascii="宋体" w:hAnsi="宋体" w:eastAsia="宋体" w:cs="宋体"/>
          <w:bCs/>
          <w:color w:val="auto"/>
          <w:sz w:val="28"/>
          <w:szCs w:val="28"/>
          <w:highlight w:val="none"/>
        </w:rPr>
        <w:t>完成外业核查并出具核查报告</w:t>
      </w:r>
      <w:r>
        <w:rPr>
          <w:rFonts w:hint="eastAsia" w:ascii="宋体" w:hAnsi="宋体" w:eastAsia="宋体" w:cs="宋体"/>
          <w:bCs/>
          <w:color w:val="auto"/>
          <w:sz w:val="28"/>
          <w:szCs w:val="28"/>
          <w:highlight w:val="none"/>
          <w:lang w:eastAsia="zh-CN"/>
        </w:rPr>
        <w:t>，</w:t>
      </w:r>
      <w:r>
        <w:rPr>
          <w:rFonts w:hint="eastAsia" w:ascii="宋体" w:hAnsi="宋体" w:eastAsia="宋体" w:cs="宋体"/>
          <w:bCs/>
          <w:color w:val="auto"/>
          <w:sz w:val="28"/>
          <w:szCs w:val="28"/>
          <w:highlight w:val="none"/>
          <w:lang w:val="en-US" w:eastAsia="zh-CN"/>
        </w:rPr>
        <w:t>完成合同约定全部内容可提交履约验收。</w:t>
      </w:r>
    </w:p>
    <w:p w14:paraId="0D964829">
      <w:pPr>
        <w:keepNext w:val="0"/>
        <w:keepLines w:val="0"/>
        <w:pageBreakBefore w:val="0"/>
        <w:widowControl w:val="0"/>
        <w:kinsoku/>
        <w:wordWrap/>
        <w:overflowPunct/>
        <w:topLinePunct w:val="0"/>
        <w:autoSpaceDE/>
        <w:autoSpaceDN/>
        <w:bidi w:val="0"/>
        <w:spacing w:line="500" w:lineRule="exact"/>
        <w:ind w:firstLine="562" w:firstLineChars="200"/>
        <w:textAlignment w:val="auto"/>
        <w:rPr>
          <w:rFonts w:hint="default"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rPr>
        <w:t xml:space="preserve">第六条 </w:t>
      </w:r>
      <w:r>
        <w:rPr>
          <w:rFonts w:hint="eastAsia" w:ascii="宋体" w:hAnsi="宋体" w:eastAsia="宋体" w:cs="宋体"/>
          <w:b/>
          <w:color w:val="auto"/>
          <w:sz w:val="28"/>
          <w:szCs w:val="28"/>
          <w:highlight w:val="none"/>
          <w:lang w:val="en-US" w:eastAsia="zh-CN"/>
        </w:rPr>
        <w:t>主要工作内容</w:t>
      </w:r>
    </w:p>
    <w:p w14:paraId="60891FD0">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1.制定总体工作方案：根据工作要求，制定《陕西省农村公路安防工程系统升级及防护栏工程数据核查实施方案》，明确工作要求、工作内容、工作安排等。</w:t>
      </w:r>
    </w:p>
    <w:p w14:paraId="544F5B6B">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2.技术支持指导：配合省公路局对地方交通部门相关人员提供全程技术支持工作。</w:t>
      </w:r>
    </w:p>
    <w:p w14:paraId="0E4B717E">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内业复核工作：制定《陕西省农村公路安防工程核查内业复核工作方案》明确内业复核工作的范围、安排、要求，并依据相关法律法规、政策规定以及实践经验，制定详细的内业复核标准与流程，明确复核的具体内容、要求和依据。结合年报数据，对全省新增省道、县乡公路以及2024年新增村道的安防护栏工程需求数据进行人工审核，为后续的实地复核工作提供数据基础。</w:t>
      </w:r>
    </w:p>
    <w:p w14:paraId="30AB8CFD">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4.外业复核工作：制定《陕西省农村公路安防工程核查外业复核工作方案》明确外业复核工作的范围、安排、要求，并依据相关法律法规、政策规定以及实践经验，制定详细的外业复核标准与流程，明确复核的具体内容、要求和依据。安排专业技术人员对内业复核后的数据开展现场实地调查核对，重点调查审核路侧危险等级和对应设置护栏防护等级，并征求地方交通部门意见，根据意见对已经复核数据的轨迹、基本信息、照片等信息进行最终审核与完善，形成核查报告。</w:t>
      </w:r>
      <w:r>
        <w:rPr>
          <w:rFonts w:hint="eastAsia" w:ascii="宋体" w:hAnsi="宋体" w:eastAsia="宋体" w:cs="宋体"/>
          <w:color w:val="auto"/>
          <w:sz w:val="28"/>
          <w:szCs w:val="28"/>
          <w:highlight w:val="none"/>
          <w:lang w:val="en-US" w:eastAsia="zh-CN"/>
        </w:rPr>
        <w:t xml:space="preserve">   </w:t>
      </w:r>
    </w:p>
    <w:p w14:paraId="604B5E0C">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项目负责人：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p>
    <w:p w14:paraId="525B83F2">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技术负责人：</w:t>
      </w:r>
      <w:r>
        <w:rPr>
          <w:rFonts w:hint="eastAsia" w:ascii="宋体" w:hAnsi="宋体" w:eastAsia="宋体" w:cs="宋体"/>
          <w:color w:val="auto"/>
          <w:sz w:val="28"/>
          <w:szCs w:val="28"/>
          <w:highlight w:val="none"/>
          <w:u w:val="single"/>
          <w:lang w:val="en-US" w:eastAsia="zh-CN"/>
        </w:rPr>
        <w:t xml:space="preserve">                                     。</w:t>
      </w:r>
    </w:p>
    <w:p w14:paraId="618FFC47">
      <w:pPr>
        <w:keepNext w:val="0"/>
        <w:keepLines w:val="0"/>
        <w:pageBreakBefore w:val="0"/>
        <w:widowControl w:val="0"/>
        <w:kinsoku/>
        <w:wordWrap/>
        <w:overflowPunct/>
        <w:topLinePunct w:val="0"/>
        <w:autoSpaceDE/>
        <w:autoSpaceDN/>
        <w:bidi w:val="0"/>
        <w:spacing w:line="500" w:lineRule="exact"/>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第七条 双方权利与义务</w:t>
      </w:r>
    </w:p>
    <w:p w14:paraId="11C3F35A">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7.1甲方权利与义务</w:t>
      </w:r>
    </w:p>
    <w:p w14:paraId="014E114C">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7.1.1向乙方提供项目所需要的相关材料及指导性意见。</w:t>
      </w:r>
    </w:p>
    <w:p w14:paraId="7675045B">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7.1.2在合同履行期间，甲方可根据工作的需要派遣人员在乙方工作所在地进行配合与指导。</w:t>
      </w:r>
    </w:p>
    <w:p w14:paraId="41C10E77">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7.1.3甲方应按合同规定的时间和金额向乙方支付合同费用。</w:t>
      </w:r>
    </w:p>
    <w:p w14:paraId="4B4AAE68">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7.1.4甲方对乙方人员在履行本合同过程中出现的任何非甲方原因造成的任何安全问题均不承担任何责任。</w:t>
      </w:r>
    </w:p>
    <w:p w14:paraId="6E39606F">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7.2乙方权利与义务</w:t>
      </w:r>
    </w:p>
    <w:p w14:paraId="13ED133E">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7.2.1严格按照国家技术规范、标准、规程及甲方提出的要求，开展相关工作。</w:t>
      </w:r>
    </w:p>
    <w:p w14:paraId="44ACD1D0">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7.2.2保质保量、按时提交以合同所规定的内容、进度及份数向甲方交付资料及成果文件。</w:t>
      </w:r>
    </w:p>
    <w:p w14:paraId="0719C48E">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7.2.3解答甲方提出的问题及合同责任内的服务，做出方案调整、修改等工作。</w:t>
      </w:r>
    </w:p>
    <w:p w14:paraId="736A782F">
      <w:pPr>
        <w:keepNext w:val="0"/>
        <w:keepLines w:val="0"/>
        <w:pageBreakBefore w:val="0"/>
        <w:widowControl/>
        <w:kinsoku/>
        <w:wordWrap/>
        <w:overflowPunct/>
        <w:topLinePunct w:val="0"/>
        <w:autoSpaceDE w:val="0"/>
        <w:autoSpaceDN w:val="0"/>
        <w:bidi w:val="0"/>
        <w:adjustRightInd w:val="0"/>
        <w:snapToGrid w:val="0"/>
        <w:spacing w:line="480" w:lineRule="exact"/>
        <w:ind w:firstLine="562" w:firstLineChars="200"/>
        <w:jc w:val="both"/>
        <w:textAlignment w:val="baseline"/>
        <w:rPr>
          <w:rFonts w:hint="default"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第八条  保密条款</w:t>
      </w:r>
    </w:p>
    <w:p w14:paraId="57659E4B">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乙方对工作中了解到的甲方的技术、数据、机密等进行严格保密，不得向他人泄漏。本合同的解除或终止不免除乙方应承担的保密义务。</w:t>
      </w:r>
    </w:p>
    <w:p w14:paraId="1AA5432B">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乙方违反保密规定的，除承担法律责任外，还应向甲方支付合同额20%的惩罚性违约金，违约金不足以弥补甲方损失的，乙方还应予以赔偿。</w:t>
      </w:r>
    </w:p>
    <w:p w14:paraId="30A47BDA">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 xml:space="preserve">    第九条  知识产权</w:t>
      </w:r>
    </w:p>
    <w:p w14:paraId="29EFAFD9">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14:paraId="147B16DE">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 xml:space="preserve">     第十条  违约责任</w:t>
      </w:r>
    </w:p>
    <w:p w14:paraId="390798B1">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1.甲乙双方必须遵守本合同并执行合同中的各项规定，保证本合同的正常履行。</w:t>
      </w:r>
    </w:p>
    <w:p w14:paraId="4FF49AA4">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F5432B1">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14:paraId="4A83EFB0">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4.乙方逾期完成服务的，每逾期一日，向甲方承担合同总价款0.3%的违约金，逾期30日的，甲方有权单方解除本合同且保留追究乙方违约责任的权利，给甲方造成损失的，乙方还应予以赔偿。</w:t>
      </w:r>
    </w:p>
    <w:p w14:paraId="6E80CD9F">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14:paraId="214A2A93">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6.乙方应保证其提交的服务成果不存在侵犯他人权益的情形，否则，因此引发的责任及纠纷由乙方承担，对甲方造成损失的，乙方应予以赔偿，此外，乙方还应向甲方承担合同总价款20%的惩罚性违约金。</w:t>
      </w:r>
    </w:p>
    <w:p w14:paraId="46C890BB">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7.乙方应对其服务及服务成果的合法性、科学性、有效性、客观性、真实性负责，否则，相关责任及纠纷由乙方承担，对甲方造成损失的，乙方应予赔偿，此外，乙方还应向甲方承担合同总价款10%的违约金。</w:t>
      </w:r>
    </w:p>
    <w:p w14:paraId="05DD5324">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8.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14:paraId="00C189FD">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9.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72EC5580">
      <w:pPr>
        <w:keepNext w:val="0"/>
        <w:keepLines w:val="0"/>
        <w:pageBreakBefore w:val="0"/>
        <w:widowControl/>
        <w:kinsoku/>
        <w:wordWrap/>
        <w:overflowPunct/>
        <w:topLinePunct w:val="0"/>
        <w:autoSpaceDE w:val="0"/>
        <w:autoSpaceDN w:val="0"/>
        <w:bidi w:val="0"/>
        <w:adjustRightInd w:val="0"/>
        <w:snapToGrid w:val="0"/>
        <w:spacing w:line="480" w:lineRule="exact"/>
        <w:ind w:firstLine="562" w:firstLineChars="200"/>
        <w:jc w:val="both"/>
        <w:textAlignment w:val="baseline"/>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第十一条  合同争议的解决</w:t>
      </w:r>
    </w:p>
    <w:p w14:paraId="0FBA45A9">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在执行本合同中发生的或与本合同有关的争端，双方应通过友好协商解决，经协商无法解决的，应向甲方所在地有管理权限的人民法院提请诉讼。</w:t>
      </w:r>
    </w:p>
    <w:p w14:paraId="4DB9E64A">
      <w:pPr>
        <w:keepNext w:val="0"/>
        <w:keepLines w:val="0"/>
        <w:pageBreakBefore w:val="0"/>
        <w:widowControl/>
        <w:kinsoku/>
        <w:wordWrap/>
        <w:overflowPunct/>
        <w:topLinePunct w:val="0"/>
        <w:autoSpaceDE w:val="0"/>
        <w:autoSpaceDN w:val="0"/>
        <w:bidi w:val="0"/>
        <w:adjustRightInd w:val="0"/>
        <w:snapToGrid w:val="0"/>
        <w:spacing w:line="480" w:lineRule="exact"/>
        <w:ind w:firstLine="562" w:firstLineChars="200"/>
        <w:jc w:val="both"/>
        <w:textAlignment w:val="baseline"/>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第十二条  不可抗力情况下的免责约定</w:t>
      </w:r>
    </w:p>
    <w:p w14:paraId="2005678F">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双方约定不可抗力情况指：双方不可预见、不可避免、不可克服的客观情况，但不包括双方的违约或疏忽。这些事件包括但不限于：战争、严重火灾、洪水、台风、地震等。</w:t>
      </w:r>
    </w:p>
    <w:p w14:paraId="330C1EC2">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1、在合同有效期内，任何一方因不可抗力事件导致不能履行合同，则合同履行期可延长，其延长期与不可抗力影响期相同。</w:t>
      </w:r>
    </w:p>
    <w:p w14:paraId="08FFCA23">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2、不可抗力事件发生后，应立即通知对方，并寄送有关权威机构出具的证明。</w:t>
      </w:r>
    </w:p>
    <w:p w14:paraId="606F761A">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3、不可抗力事件延续60天以上，双方应通过友好协商，确定是否继续履行合同。</w:t>
      </w:r>
    </w:p>
    <w:p w14:paraId="14DB47F1">
      <w:pPr>
        <w:keepNext w:val="0"/>
        <w:keepLines w:val="0"/>
        <w:pageBreakBefore w:val="0"/>
        <w:widowControl/>
        <w:kinsoku/>
        <w:wordWrap/>
        <w:overflowPunct/>
        <w:topLinePunct w:val="0"/>
        <w:autoSpaceDE w:val="0"/>
        <w:autoSpaceDN w:val="0"/>
        <w:bidi w:val="0"/>
        <w:adjustRightInd w:val="0"/>
        <w:snapToGrid w:val="0"/>
        <w:spacing w:line="480" w:lineRule="exact"/>
        <w:ind w:firstLine="562" w:firstLineChars="200"/>
        <w:jc w:val="both"/>
        <w:textAlignment w:val="baseline"/>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第十三条  合同订立</w:t>
      </w:r>
    </w:p>
    <w:p w14:paraId="22BB9468">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1.本合同未尽事宜由双方协商解决，双方协商达成一致，可以对本合同进行修订或补充，任何对本合同的修订或者补充，应采用书面形式，签订补充协议，具有同等法律效力。</w:t>
      </w:r>
    </w:p>
    <w:p w14:paraId="2635BD6D">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2.本合同自双方的法定代表人或委托代理人签字并加盖公章之日起生效。</w:t>
      </w:r>
    </w:p>
    <w:p w14:paraId="48F17D8B">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3.本合同一式</w:t>
      </w:r>
      <w:r>
        <w:rPr>
          <w:rFonts w:hint="eastAsia" w:ascii="宋体" w:hAnsi="宋体" w:eastAsia="宋体" w:cs="宋体"/>
          <w:snapToGrid w:val="0"/>
          <w:color w:val="auto"/>
          <w:kern w:val="0"/>
          <w:sz w:val="28"/>
          <w:szCs w:val="28"/>
          <w:highlight w:val="none"/>
          <w:u w:val="single"/>
          <w:lang w:val="en-US" w:eastAsia="zh-CN" w:bidi="ar-SA"/>
        </w:rPr>
        <w:t xml:space="preserve"> 捌 </w:t>
      </w:r>
      <w:r>
        <w:rPr>
          <w:rFonts w:hint="eastAsia" w:ascii="宋体" w:hAnsi="宋体" w:eastAsia="宋体" w:cs="宋体"/>
          <w:snapToGrid w:val="0"/>
          <w:color w:val="auto"/>
          <w:kern w:val="0"/>
          <w:sz w:val="28"/>
          <w:szCs w:val="28"/>
          <w:highlight w:val="none"/>
          <w:lang w:val="en-US" w:eastAsia="zh-CN" w:bidi="ar-SA"/>
        </w:rPr>
        <w:t>份，其中，甲方执</w:t>
      </w:r>
      <w:r>
        <w:rPr>
          <w:rFonts w:hint="eastAsia" w:ascii="宋体" w:hAnsi="宋体" w:eastAsia="宋体" w:cs="宋体"/>
          <w:snapToGrid w:val="0"/>
          <w:color w:val="auto"/>
          <w:kern w:val="0"/>
          <w:sz w:val="28"/>
          <w:szCs w:val="28"/>
          <w:highlight w:val="none"/>
          <w:u w:val="single"/>
          <w:lang w:val="en-US" w:eastAsia="zh-CN" w:bidi="ar-SA"/>
        </w:rPr>
        <w:t xml:space="preserve"> 肆 </w:t>
      </w:r>
      <w:r>
        <w:rPr>
          <w:rFonts w:hint="eastAsia" w:ascii="宋体" w:hAnsi="宋体" w:eastAsia="宋体" w:cs="宋体"/>
          <w:snapToGrid w:val="0"/>
          <w:color w:val="auto"/>
          <w:kern w:val="0"/>
          <w:sz w:val="28"/>
          <w:szCs w:val="28"/>
          <w:highlight w:val="none"/>
          <w:lang w:val="en-US" w:eastAsia="zh-CN" w:bidi="ar-SA"/>
        </w:rPr>
        <w:t>份，乙方执</w:t>
      </w:r>
      <w:r>
        <w:rPr>
          <w:rFonts w:hint="eastAsia" w:ascii="宋体" w:hAnsi="宋体" w:eastAsia="宋体" w:cs="宋体"/>
          <w:snapToGrid w:val="0"/>
          <w:color w:val="auto"/>
          <w:kern w:val="0"/>
          <w:sz w:val="28"/>
          <w:szCs w:val="28"/>
          <w:highlight w:val="none"/>
          <w:u w:val="single"/>
          <w:lang w:val="en-US" w:eastAsia="zh-CN" w:bidi="ar-SA"/>
        </w:rPr>
        <w:t xml:space="preserve"> 肆 </w:t>
      </w:r>
      <w:r>
        <w:rPr>
          <w:rFonts w:hint="eastAsia" w:ascii="宋体" w:hAnsi="宋体" w:eastAsia="宋体" w:cs="宋体"/>
          <w:snapToGrid w:val="0"/>
          <w:color w:val="auto"/>
          <w:kern w:val="0"/>
          <w:sz w:val="28"/>
          <w:szCs w:val="28"/>
          <w:highlight w:val="none"/>
          <w:lang w:val="en-US" w:eastAsia="zh-CN" w:bidi="ar-SA"/>
        </w:rPr>
        <w:t>份，具有同等法律效力。</w:t>
      </w:r>
    </w:p>
    <w:p w14:paraId="1FC819B3">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1470EC4D">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56E34958">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 xml:space="preserve">采购人：   （盖章）                  供应商：   （盖章）         </w:t>
      </w:r>
    </w:p>
    <w:p w14:paraId="38FEDA85">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 xml:space="preserve">地 址：                              地  址：                    </w:t>
      </w:r>
    </w:p>
    <w:p w14:paraId="22C0DBFE">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 xml:space="preserve">法定代表人或其授权                   法定代表人或其授权 </w:t>
      </w:r>
    </w:p>
    <w:p w14:paraId="030317ED">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 xml:space="preserve">的代理人：（签字）                   的代理人：（签字）           </w:t>
      </w:r>
    </w:p>
    <w:p w14:paraId="221C878E">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 xml:space="preserve">电话：                               电话：                       </w:t>
      </w:r>
    </w:p>
    <w:p w14:paraId="42AB4DFE">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5A5E0058">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0E92C5C7">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168A6BEE">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3393C691">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29E715D9">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39C880BF">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376895A9">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58DF1CD3">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50624738">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643AADBF">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7921415B">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2726BEDC">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14:paraId="72282D03">
      <w:pP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br w:type="page"/>
      </w:r>
    </w:p>
    <w:p w14:paraId="5D20BF3F">
      <w:pPr>
        <w:keepNext w:val="0"/>
        <w:keepLines w:val="0"/>
        <w:pageBreakBefore w:val="0"/>
        <w:kinsoku/>
        <w:wordWrap/>
        <w:overflowPunct/>
        <w:topLinePunct w:val="0"/>
        <w:bidi w:val="0"/>
        <w:spacing w:line="500" w:lineRule="exact"/>
        <w:jc w:val="center"/>
        <w:rPr>
          <w:rFonts w:hint="eastAsia" w:ascii="宋体" w:hAnsi="宋体" w:eastAsia="宋体" w:cs="宋体"/>
          <w:color w:val="auto"/>
          <w:sz w:val="36"/>
          <w:szCs w:val="36"/>
          <w:highlight w:val="none"/>
        </w:rPr>
      </w:pPr>
      <w:bookmarkStart w:id="0" w:name="_GoBack"/>
      <w:bookmarkEnd w:id="0"/>
      <w:r>
        <w:rPr>
          <w:rFonts w:hint="eastAsia" w:ascii="宋体" w:hAnsi="宋体" w:eastAsia="宋体" w:cs="宋体"/>
          <w:b/>
          <w:bCs/>
          <w:color w:val="auto"/>
          <w:sz w:val="36"/>
          <w:szCs w:val="36"/>
          <w:highlight w:val="none"/>
        </w:rPr>
        <w:t>廉政合同</w:t>
      </w:r>
    </w:p>
    <w:p w14:paraId="4B605B74">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(以下简称“甲方”)和</w:t>
      </w:r>
      <w:r>
        <w:rPr>
          <w:rFonts w:hint="eastAsia" w:ascii="宋体" w:hAnsi="宋体" w:eastAsia="宋体" w:cs="宋体"/>
          <w:color w:val="auto"/>
          <w:sz w:val="28"/>
          <w:szCs w:val="28"/>
          <w:highlight w:val="none"/>
          <w:u w:val="single"/>
        </w:rPr>
        <mc:AlternateContent>
          <mc:Choice Requires="wps">
            <w:drawing>
              <wp:anchor distT="0" distB="0" distL="114300" distR="114300" simplePos="0" relativeHeight="251659264" behindDoc="1" locked="0" layoutInCell="0" allowOverlap="1">
                <wp:simplePos x="0" y="0"/>
                <wp:positionH relativeFrom="page">
                  <wp:posOffset>1080770</wp:posOffset>
                </wp:positionH>
                <wp:positionV relativeFrom="paragraph">
                  <wp:posOffset>295275</wp:posOffset>
                </wp:positionV>
                <wp:extent cx="50165" cy="0"/>
                <wp:effectExtent l="0" t="5080" r="0" b="4445"/>
                <wp:wrapNone/>
                <wp:docPr id="1" name="任意多边形 1"/>
                <wp:cNvGraphicFramePr/>
                <a:graphic xmlns:a="http://schemas.openxmlformats.org/drawingml/2006/main">
                  <a:graphicData uri="http://schemas.microsoft.com/office/word/2010/wordprocessingShape">
                    <wps:wsp>
                      <wps:cNvSpPr/>
                      <wps:spPr>
                        <a:xfrm>
                          <a:off x="0" y="0"/>
                          <a:ext cx="50165" cy="0"/>
                        </a:xfrm>
                        <a:custGeom>
                          <a:avLst/>
                          <a:gdLst>
                            <a:gd name="A1" fmla="val 0"/>
                            <a:gd name="A2" fmla="val 0"/>
                          </a:gdLst>
                          <a:ahLst/>
                          <a:cxnLst>
                            <a:cxn ang="0">
                              <a:pos x="0" y="0"/>
                            </a:cxn>
                            <a:cxn ang="0">
                              <a:pos x="50165" y="0"/>
                            </a:cxn>
                          </a:cxnLst>
                          <a:rect l="0" t="0" r="0" b="0"/>
                          <a:pathLst>
                            <a:path w="79" h="1">
                              <a:moveTo>
                                <a:pt x="0" y="0"/>
                              </a:moveTo>
                              <a:lnTo>
                                <a:pt x="79" y="0"/>
                              </a:lnTo>
                            </a:path>
                          </a:pathLst>
                        </a:custGeom>
                        <a:noFill/>
                        <a:ln w="8890" cap="flat" cmpd="sng">
                          <a:solidFill>
                            <a:srgbClr val="000000"/>
                          </a:solidFill>
                          <a:prstDash val="solid"/>
                          <a:round/>
                          <a:headEnd type="none" w="med" len="med"/>
                          <a:tailEnd type="none" w="med" len="med"/>
                        </a:ln>
                        <a:effectLst/>
                      </wps:spPr>
                      <wps:bodyPr upright="1"/>
                    </wps:wsp>
                  </a:graphicData>
                </a:graphic>
              </wp:anchor>
            </w:drawing>
          </mc:Choice>
          <mc:Fallback>
            <w:pict>
              <v:shape id="_x0000_s1026" o:spid="_x0000_s1026" o:spt="100" style="position:absolute;left:0pt;margin-left:85.1pt;margin-top:23.25pt;height:0pt;width:3.95pt;mso-position-horizontal-relative:page;z-index:-251657216;mso-width-relative:page;mso-height-relative:page;" filled="f" stroked="t" coordsize="79,1" o:allowincell="f" o:gfxdata="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G/enfrZAAAACQEAAA8AAAAAAAAAAQAgAAAAIgAAAGRycy9kb3du&#10;cmV2LnhtbFBLAQIUABQAAAAIAIdO4kCLaYQicAIAAGQFAAAOAAAAAAAAAAEAIAAAACgBAABkcnMv&#10;ZTJvRG9jLnhtbFBLBQYAAAAABgAGAFkBAAAKBgAAAAA=&#10;" path="m0,0l79,0e">
                <v:path o:connectlocs="0,0;50165,0" o:connectangles="0,0"/>
                <v:fill on="f" focussize="0,0"/>
                <v:stroke weight="0.7pt" color="#000000" joinstyle="round"/>
                <v:imagedata o:title=""/>
                <o:lock v:ext="edit" aspectratio="f"/>
              </v:shape>
            </w:pict>
          </mc:Fallback>
        </mc:AlternateContent>
      </w:r>
      <w:r>
        <w:rPr>
          <w:rFonts w:hint="eastAsia" w:ascii="宋体" w:hAnsi="宋体" w:eastAsia="宋体" w:cs="宋体"/>
          <w:color w:val="auto"/>
          <w:sz w:val="28"/>
          <w:szCs w:val="28"/>
          <w:highlight w:val="none"/>
        </w:rPr>
        <w:t>成交</w:t>
      </w:r>
      <w:r>
        <w:rPr>
          <w:rFonts w:hint="eastAsia" w:ascii="宋体" w:hAnsi="宋体" w:eastAsia="宋体" w:cs="宋体"/>
          <w:color w:val="auto"/>
          <w:sz w:val="28"/>
          <w:szCs w:val="28"/>
          <w:highlight w:val="none"/>
          <w:lang w:eastAsia="zh-CN"/>
        </w:rPr>
        <w:t>乙方</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w:t>
      </w:r>
      <w:r>
        <w:rPr>
          <w:rFonts w:hint="eastAsia" w:ascii="宋体" w:hAnsi="宋体" w:eastAsia="宋体" w:cs="宋体"/>
          <w:color w:val="auto"/>
          <w:sz w:val="28"/>
          <w:szCs w:val="28"/>
          <w:highlight w:val="none"/>
        </w:rPr>
        <w:t>以下简称“乙方”)，特订立如下合同。</w:t>
      </w:r>
    </w:p>
    <w:p w14:paraId="682F87A7">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第一条 双方的权利和义务</w:t>
      </w:r>
    </w:p>
    <w:p w14:paraId="79F1161D">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(一)严格遵守党的政策规定和国家有关法律法规及交通运输部的有关规定。</w:t>
      </w:r>
    </w:p>
    <w:p w14:paraId="08F6A117">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(二)严格执行</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合同文件，自觉按合同办事。</w:t>
      </w:r>
    </w:p>
    <w:p w14:paraId="21B75BFF">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(三)双方的业务活动坚持公开、公正、诚信、透明的原则(法律认定的商业秘密和合同文件另有规定除外)，不得损害国家和集体利益，不得违反工程建设管理规章制度。</w:t>
      </w:r>
    </w:p>
    <w:p w14:paraId="224C321F">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(四)建立健全廉政制度，开展廉政教育，设立廉政告示牌，公布举报电话，监督并认真查处违法违纪行为。</w:t>
      </w:r>
    </w:p>
    <w:p w14:paraId="0B84CDAA">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(五)发现对方在业务活动中有违反廉政规定的行为，有及时提醒对方纠正的权利和义务。</w:t>
      </w:r>
    </w:p>
    <w:p w14:paraId="4DDA6C75">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(六)发现各方严重违反本合同义务条款的行为，有向其上级有关部门举报、建议给予处理并要求告知处理结果的权利。</w:t>
      </w:r>
    </w:p>
    <w:p w14:paraId="5045E64F">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第二条甲方的义务</w:t>
      </w:r>
    </w:p>
    <w:p w14:paraId="1EE7852C">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(一)甲方及其工作人员不得索要或接受乙方的礼金、有价证券和贵重物品，不得在乙方报销任何应由甲方或甲方工作人员个人支付的费用等。</w:t>
      </w:r>
    </w:p>
    <w:p w14:paraId="43C78C46">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(二)甲方工作人员不得参加乙方安排的超标准宴请和娱乐活动；不得接受乙方提供的通讯工具、交通工具和高档办公用品等。</w:t>
      </w:r>
    </w:p>
    <w:p w14:paraId="431F701A">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(三)甲方及其工作人员不得要求或者接受乙方为其住房装修、婚丧嫁娶活动、配偶子女及其亲属的工作安排以及出国出境、旅游等提供方便等。</w:t>
      </w:r>
    </w:p>
    <w:p w14:paraId="2CBE87E2">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(四)不准向乙方和相关单位介绍或为配偶、子女、亲属参与同本方案设计合同有关的方案设计业务等活动。不得以任何理由要求乙方和相关单位在设计中使用某种产品、材料和设备。</w:t>
      </w:r>
    </w:p>
    <w:p w14:paraId="6AA8C493">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第三条乙方的义务</w:t>
      </w:r>
    </w:p>
    <w:p w14:paraId="48C70548">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(一)乙方不得以任何理由向甲方及其工作人员行贿或馈赠礼金、有价证券、贵重礼品。</w:t>
      </w:r>
    </w:p>
    <w:p w14:paraId="41242514">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(二)乙方不得以任何名义为甲方及其工作人员报销应由甲方单位或个人支付的任何费用。</w:t>
      </w:r>
    </w:p>
    <w:p w14:paraId="1FD50B49">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(三)乙方不得以任何理由安排甲方工作人员参加超标准宴请及娱乐活动。</w:t>
      </w:r>
    </w:p>
    <w:p w14:paraId="44CF7151">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(四)乙方不得为甲方单位和个人购置或提供通讯工具、交通工具和高档办公用品等。</w:t>
      </w:r>
    </w:p>
    <w:p w14:paraId="132B26A5">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第四条违约责任</w:t>
      </w:r>
    </w:p>
    <w:p w14:paraId="4DEC1677">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(一)甲方及其工作人员违反本合同第一、二条，按管理权限，依据有关规定给予党纪、政纪或组织处理；涉嫌犯罪的，移交司法机关追究刑事责任；给乙方单位造成经济损失的，应予以赔偿。</w:t>
      </w:r>
    </w:p>
    <w:p w14:paraId="23F14F12">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乙方及其工作人员违反本合同第一、三条，按管理权限，依据有关规定给予党纪、政纪或组织处理；给甲方单位造成经济损失的，应予以赔偿；情节严重的，甲方建议交通运输主管部门给予乙方一至三年内不得进入其主管的公路养建市场的处罚。</w:t>
      </w:r>
    </w:p>
    <w:p w14:paraId="48539FA0">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第五条双方约定：本合同由双方或双方上级单位的纪检监察部门负责监督执行。</w:t>
      </w:r>
    </w:p>
    <w:p w14:paraId="3EF0D4B3">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第六条本合同有效期为甲乙双方签署之日起至《协议书》（即本次政府采购主合同）失效日止。</w:t>
      </w:r>
    </w:p>
    <w:p w14:paraId="10D1262E">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第七条本合同作为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合同的附件，与服务合同具有同等的法律效力，经合同双方签署后立即生效。</w:t>
      </w:r>
    </w:p>
    <w:p w14:paraId="3E534560">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第八条 本合同一式</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份，具有同等法律效力，双方各执</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份，双方法定代表人或其授权的代理人签字盖章后生效。</w:t>
      </w:r>
    </w:p>
    <w:p w14:paraId="00C6D350">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p>
    <w:p w14:paraId="79D9992A">
      <w:pPr>
        <w:pStyle w:val="2"/>
        <w:rPr>
          <w:rFonts w:hint="eastAsia"/>
          <w:color w:val="auto"/>
          <w:highlight w:val="none"/>
        </w:rPr>
      </w:pPr>
    </w:p>
    <w:p w14:paraId="6ACAE987">
      <w:pPr>
        <w:keepNext w:val="0"/>
        <w:keepLines w:val="0"/>
        <w:pageBreakBefore w:val="0"/>
        <w:widowControl/>
        <w:kinsoku/>
        <w:wordWrap/>
        <w:overflowPunct/>
        <w:topLinePunct w:val="0"/>
        <w:autoSpaceDE w:val="0"/>
        <w:autoSpaceDN w:val="0"/>
        <w:bidi w:val="0"/>
        <w:adjustRightInd w:val="0"/>
        <w:snapToGrid w:val="0"/>
        <w:spacing w:line="500" w:lineRule="exact"/>
        <w:ind w:left="6159" w:leftChars="266" w:hanging="5600" w:hangingChars="2000"/>
        <w:jc w:val="both"/>
        <w:textAlignment w:val="baseline"/>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甲方：</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公章</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乙方：</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公章</w:t>
      </w:r>
      <w:r>
        <w:rPr>
          <w:rFonts w:hint="eastAsia" w:ascii="宋体" w:hAnsi="宋体" w:eastAsia="宋体" w:cs="宋体"/>
          <w:color w:val="auto"/>
          <w:sz w:val="28"/>
          <w:szCs w:val="28"/>
          <w:highlight w:val="none"/>
          <w:u w:val="none"/>
          <w:lang w:eastAsia="zh-CN"/>
        </w:rPr>
        <w:t>）</w:t>
      </w:r>
    </w:p>
    <w:p w14:paraId="71D9DD11">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法定代表人</w:t>
      </w:r>
    </w:p>
    <w:p w14:paraId="6723289B">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或其委托代理人：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或其委托代理人：</w:t>
      </w:r>
      <w:r>
        <w:rPr>
          <w:rFonts w:hint="eastAsia" w:ascii="宋体" w:hAnsi="宋体" w:eastAsia="宋体" w:cs="宋体"/>
          <w:color w:val="auto"/>
          <w:sz w:val="28"/>
          <w:szCs w:val="28"/>
          <w:highlight w:val="none"/>
          <w:u w:val="single"/>
          <w:lang w:val="en-US" w:eastAsia="zh-CN"/>
        </w:rPr>
        <w:t xml:space="preserve">               </w:t>
      </w:r>
    </w:p>
    <w:p w14:paraId="388B5C96">
      <w:pPr>
        <w:keepNext w:val="0"/>
        <w:keepLines w:val="0"/>
        <w:pageBreakBefore w:val="0"/>
        <w:widowControl/>
        <w:kinsoku/>
        <w:wordWrap/>
        <w:overflowPunct/>
        <w:topLinePunct w:val="0"/>
        <w:autoSpaceDE w:val="0"/>
        <w:autoSpaceDN w:val="0"/>
        <w:bidi w:val="0"/>
        <w:adjustRightInd w:val="0"/>
        <w:snapToGrid w:val="0"/>
        <w:spacing w:line="500" w:lineRule="exact"/>
        <w:ind w:firstLine="2240" w:firstLineChars="8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年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xml:space="preserve"> 月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xml:space="preserve"> 日</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xml:space="preserve">年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xml:space="preserve">  日</w:t>
      </w:r>
    </w:p>
    <w:p w14:paraId="7B4D4FD7">
      <w:pPr>
        <w:keepNext w:val="0"/>
        <w:keepLines w:val="0"/>
        <w:pageBreakBefore w:val="0"/>
        <w:kinsoku/>
        <w:wordWrap/>
        <w:overflowPunct/>
        <w:topLinePunct w:val="0"/>
        <w:bidi w:val="0"/>
        <w:spacing w:line="500" w:lineRule="exact"/>
        <w:rPr>
          <w:rFonts w:hint="eastAsia" w:ascii="宋体" w:hAnsi="宋体" w:eastAsia="宋体" w:cs="宋体"/>
          <w:color w:val="auto"/>
          <w:sz w:val="28"/>
          <w:szCs w:val="28"/>
          <w:highlight w:val="none"/>
          <w:lang w:val="en-US" w:eastAsia="zh-Hans"/>
        </w:rPr>
      </w:pPr>
    </w:p>
    <w:p w14:paraId="6E689A6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CB5F96"/>
    <w:multiLevelType w:val="singleLevel"/>
    <w:tmpl w:val="28CB5F96"/>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TMwMzg5NTAzMWEzMzkzYTFhYjVhZWFlNGM2NzQifQ=="/>
  </w:docVars>
  <w:rsids>
    <w:rsidRoot w:val="00000000"/>
    <w:rsid w:val="0C027B8E"/>
    <w:rsid w:val="1FA972C6"/>
    <w:rsid w:val="273D60AD"/>
    <w:rsid w:val="5D540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style>
  <w:style w:type="paragraph" w:styleId="3">
    <w:name w:val="Body Text"/>
    <w:basedOn w:val="1"/>
    <w:next w:val="1"/>
    <w:qFormat/>
    <w:uiPriority w:val="0"/>
    <w:pPr>
      <w:spacing w:after="120"/>
    </w:pPr>
  </w:style>
  <w:style w:type="paragraph" w:styleId="4">
    <w:name w:val="Body Text First Indent 2"/>
    <w:basedOn w:val="5"/>
    <w:next w:val="1"/>
    <w:qFormat/>
    <w:uiPriority w:val="0"/>
    <w:pPr>
      <w:tabs>
        <w:tab w:val="left" w:pos="8640"/>
      </w:tabs>
      <w:ind w:firstLine="200" w:firstLineChars="200"/>
    </w:p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toc 1"/>
    <w:basedOn w:val="1"/>
    <w:next w:val="1"/>
    <w:unhideWhenUsed/>
    <w:qFormat/>
    <w:uiPriority w:val="39"/>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4938</Words>
  <Characters>5049</Characters>
  <Lines>0</Lines>
  <Paragraphs>0</Paragraphs>
  <TotalTime>0</TotalTime>
  <ScaleCrop>false</ScaleCrop>
  <LinksUpToDate>false</LinksUpToDate>
  <CharactersWithSpaces>5713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2025-05-21T02:08:00Z</dcterms:created>
  <dc:creator>Administrator</dc:creator>
  <cp:lastModifiedBy>Two   *〖man〗</cp:lastModifiedBy>
  <dcterms:modified xsi:type="dcterms:W3CDTF">2025-05-21T23:45:38Z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BC8C511DA8704F4A9CC736F90751C616_12</vt:lpwstr>
  </property>
  <property fmtid="{D5CDD505-2E9C-101B-9397-08002B2CF9AE}" pid="4" name="KSOTemplateDocerSaveRecord">
    <vt:lpwstr>eyJoZGlkIjoiYWQ1MGUwMjA3M2Y0MWUwNTg3ZDQxODliZmQ2NzQxMDUiLCJ1c2VySWQiOiIyNjUwODQ1NDcifQ==</vt:lpwstr>
  </property>
</Properties>
</file>