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版本号：ZFXH-2025-04-00220250521001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陕西省农村公路安防工程数据核查服务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ZFXH-2025-04-002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陕西中峰兴华工程项目管理有限公司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陕西中峰兴华工程项目管理有限公司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陕西省农村公路安防工程数据核查服务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ZFXH-2025-04-002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陕西省农村公路安防工程数据核查服务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照财政部、交通运输部联合印发的《关于车辆购置税收入补助地方资金暂行管理办法》的通知及《农村公路基础设施统计调查制度》要求，进一步梳理完善全省农村公路安防需求底数，满足农村公路“以奖代补”考核工作要求，开展全省新增省道、县乡公路以及2024年新增村道的安防护栏工程需求核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2、授权书：法定代表人（单位负责人）参加磋商的，提供本人身份证复印件；法定代表人（单位负责人）授权他人参加磋商的，提供法定代表人（单位负责人）委托授权书提供示被授权代表的身份证复印件；</w:t>
      </w:r>
    </w:p>
    <w:p>
      <w:pPr>
        <w:pStyle w:val="null3"/>
      </w:pPr>
      <w:r>
        <w:rPr>
          <w:rFonts w:ascii="仿宋_GB2312" w:hAnsi="仿宋_GB2312" w:cs="仿宋_GB2312" w:eastAsia="仿宋_GB2312"/>
        </w:rPr>
        <w:t>3、履约能力：供应商具备履行合同所必需的设备和专业技术能力；</w:t>
      </w:r>
    </w:p>
    <w:p>
      <w:pPr>
        <w:pStyle w:val="null3"/>
      </w:pPr>
      <w:r>
        <w:rPr>
          <w:rFonts w:ascii="仿宋_GB2312" w:hAnsi="仿宋_GB2312" w:cs="仿宋_GB2312" w:eastAsia="仿宋_GB2312"/>
        </w:rPr>
        <w:t>4、资质要求：供应商应具备有效的工程设计综合资质甲级，或公路行业工程设计甲级，或公路行业（公路）专业甲级及以上资质；</w:t>
      </w:r>
    </w:p>
    <w:p>
      <w:pPr>
        <w:pStyle w:val="null3"/>
      </w:pPr>
      <w:r>
        <w:rPr>
          <w:rFonts w:ascii="仿宋_GB2312" w:hAnsi="仿宋_GB2312" w:cs="仿宋_GB2312" w:eastAsia="仿宋_GB2312"/>
        </w:rPr>
        <w:t>5、信誉要求：供应商不得在“信用中国”被列入失信被执行人、政府采购严重违法失信行为记录名单、重大税收违法失信主体。</w:t>
      </w:r>
    </w:p>
    <w:p>
      <w:pPr>
        <w:pStyle w:val="null3"/>
      </w:pPr>
      <w:r>
        <w:rPr>
          <w:rFonts w:ascii="仿宋_GB2312" w:hAnsi="仿宋_GB2312" w:cs="仿宋_GB2312" w:eastAsia="仿宋_GB2312"/>
        </w:rPr>
        <w:t>6、信誉要求：供应商不得在“中国政府采购网”被列入政府采购严重违法失信行为信息记录。</w:t>
      </w:r>
    </w:p>
    <w:p>
      <w:pPr>
        <w:pStyle w:val="null3"/>
      </w:pPr>
      <w:r>
        <w:rPr>
          <w:rFonts w:ascii="仿宋_GB2312" w:hAnsi="仿宋_GB2312" w:cs="仿宋_GB2312" w:eastAsia="仿宋_GB2312"/>
        </w:rPr>
        <w:t>7、信誉要求：单位负责人为同一人或者存在控股、管理关系的不同单位，不得在同一标段中同时提出投标申请。</w:t>
      </w:r>
    </w:p>
    <w:p>
      <w:pPr>
        <w:pStyle w:val="null3"/>
      </w:pPr>
      <w:r>
        <w:rPr>
          <w:rFonts w:ascii="仿宋_GB2312" w:hAnsi="仿宋_GB2312" w:cs="仿宋_GB2312" w:eastAsia="仿宋_GB2312"/>
        </w:rPr>
        <w:t>8、信誉要求：供应商未被省级及以上交通运输主管部门限制进入公路建养市场，且不在处罚有效期内（提供承诺书）</w:t>
      </w:r>
    </w:p>
    <w:p>
      <w:pPr>
        <w:pStyle w:val="null3"/>
      </w:pPr>
      <w:r>
        <w:rPr>
          <w:rFonts w:ascii="仿宋_GB2312" w:hAnsi="仿宋_GB2312" w:cs="仿宋_GB2312" w:eastAsia="仿宋_GB2312"/>
        </w:rPr>
        <w:t>9、联合体：本项目不接受联合体投标。供应商需提供承诺书。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陕西中峰兴华工程项目管理有限公司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陕西省西安市浐灞生态区金桥三路418号前海人寿金融中心1号楼1202室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15686092000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说明：1.乙方在签订本合同之前，向甲方构提交履约保证金人民币为中标价格的5%。 2.履约保证金的有效期为乙方承诺的服务期限。 3.履约保证金作为违约金的一部分及用于补偿甲方因乙方不能履行合同义务而蒙受的损失。4.服务期限结束后，甲方财务部门接到甲方确认本合同服务等约定事项已经履行完毕的正式书面文件后的30日内，向乙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代理服务费收费标准：代理服务费按照代理项目金额的1%收取，即陕西省农村公路安防工程数据核查服务招标代理费： 采购包1：壹万贰仟柒佰元整（¥12700.00元）；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陕西中峰兴华工程项目管理有限公司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陕西中峰兴华工程项目管理有限公司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陕西中峰兴华工程项目管理有限公司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联系人：许智</w:t>
      </w:r>
    </w:p>
    <w:p>
      <w:pPr>
        <w:pStyle w:val="null3"/>
      </w:pPr>
      <w:r>
        <w:rPr>
          <w:rFonts w:ascii="仿宋_GB2312" w:hAnsi="仿宋_GB2312" w:cs="仿宋_GB2312" w:eastAsia="仿宋_GB2312"/>
        </w:rPr>
        <w:t>联系电话：15686092000</w:t>
      </w:r>
    </w:p>
    <w:p>
      <w:pPr>
        <w:pStyle w:val="null3"/>
      </w:pPr>
      <w:r>
        <w:rPr>
          <w:rFonts w:ascii="仿宋_GB2312" w:hAnsi="仿宋_GB2312" w:cs="仿宋_GB2312" w:eastAsia="仿宋_GB2312"/>
        </w:rPr>
        <w:t>地址：陕西省西安市浐灞生态区金桥三路418号前海人寿金融中心1号楼1202室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照财政部、交通运输部联合印发的《关于车辆购置税收入补助地方资金暂行管理办法》的通知及《农村公路基础设施统计调查制度》要求，进一步梳理完善全省农村公路安防需求底数，满足农村公路“以奖代补”考核工作要求，开展全省新增省道、县乡公路以及2024年新增村道的安防护栏工程需求核查。服务期：自合同签订之日起一年，三个月之内完成内业及外业核查并出具核查报告。完成合同约定全部内容可提交履约验收。详见“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陕西省农村公路安防工程数据核查服务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标的名称：陕西省农村公路安防工程数据核查服务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按照财政部、交通运输部联合印发的《关于车辆购置税收入补助地方资金暂行管理办法》的通知及《农村公路基础设施统计调查制度》要求，进一步梳理完善全省农村公路安防需求底数，满足农村公路</w:t>
            </w:r>
            <w:r>
              <w:rPr>
                <w:rFonts w:ascii="仿宋_GB2312" w:hAnsi="仿宋_GB2312" w:cs="仿宋_GB2312" w:eastAsia="仿宋_GB2312"/>
              </w:rPr>
              <w:t>“以奖代补”考核工作要求，开展全省新增省道、县乡公路以及</w:t>
            </w:r>
            <w:r>
              <w:rPr>
                <w:rFonts w:ascii="仿宋_GB2312" w:hAnsi="仿宋_GB2312" w:cs="仿宋_GB2312" w:eastAsia="仿宋_GB2312"/>
              </w:rPr>
              <w:t>2024</w:t>
            </w:r>
            <w:r>
              <w:rPr>
                <w:rFonts w:ascii="仿宋_GB2312" w:hAnsi="仿宋_GB2312" w:cs="仿宋_GB2312" w:eastAsia="仿宋_GB2312"/>
              </w:rPr>
              <w:t>年新增村道的安防护栏工程需求核查。</w:t>
            </w:r>
          </w:p>
          <w:p>
            <w:pPr>
              <w:pStyle w:val="null3"/>
            </w:pPr>
            <w:r>
              <w:rPr>
                <w:rFonts w:ascii="仿宋_GB2312" w:hAnsi="仿宋_GB2312" w:cs="仿宋_GB2312" w:eastAsia="仿宋_GB2312"/>
              </w:rPr>
              <w:t>1.</w:t>
            </w:r>
            <w:r>
              <w:rPr>
                <w:rFonts w:ascii="仿宋_GB2312" w:hAnsi="仿宋_GB2312" w:cs="仿宋_GB2312" w:eastAsia="仿宋_GB2312"/>
              </w:rPr>
              <w:t>制定总体工作方案：根据工作要求，制定《陕西省农村公路安防工程系统升级及防护栏工程数据核查实施方案》，明确工作要求、工作内容、工作安排等。</w:t>
            </w:r>
          </w:p>
          <w:p>
            <w:pPr>
              <w:pStyle w:val="null3"/>
            </w:pPr>
            <w:r>
              <w:rPr>
                <w:rFonts w:ascii="仿宋_GB2312" w:hAnsi="仿宋_GB2312" w:cs="仿宋_GB2312" w:eastAsia="仿宋_GB2312"/>
              </w:rPr>
              <w:t>2.</w:t>
            </w:r>
            <w:r>
              <w:rPr>
                <w:rFonts w:ascii="仿宋_GB2312" w:hAnsi="仿宋_GB2312" w:cs="仿宋_GB2312" w:eastAsia="仿宋_GB2312"/>
              </w:rPr>
              <w:t>技术支持指导：配合省公路局对地方交通部门相关人员提供全程技术支持工作。</w:t>
            </w:r>
          </w:p>
          <w:p>
            <w:pPr>
              <w:pStyle w:val="null3"/>
            </w:pPr>
            <w:r>
              <w:rPr>
                <w:rFonts w:ascii="仿宋_GB2312" w:hAnsi="仿宋_GB2312" w:cs="仿宋_GB2312" w:eastAsia="仿宋_GB2312"/>
              </w:rPr>
              <w:t>3.</w:t>
            </w:r>
            <w:r>
              <w:rPr>
                <w:rFonts w:ascii="仿宋_GB2312" w:hAnsi="仿宋_GB2312" w:cs="仿宋_GB2312" w:eastAsia="仿宋_GB2312"/>
              </w:rPr>
              <w:t>内业复核工作：制定《陕西省农村公路安防工程核查内业复核工作方案》明确内业复核工作的范围、安排、要求，并依据相关法律法规、政策规定以及实践经验，制定详细的内业复核标准与流程，明确复核的具体内容、要求和依据。结合年报数据，对全省新增省道、县乡公路以及</w:t>
            </w:r>
            <w:r>
              <w:rPr>
                <w:rFonts w:ascii="仿宋_GB2312" w:hAnsi="仿宋_GB2312" w:cs="仿宋_GB2312" w:eastAsia="仿宋_GB2312"/>
              </w:rPr>
              <w:t>2024</w:t>
            </w:r>
            <w:r>
              <w:rPr>
                <w:rFonts w:ascii="仿宋_GB2312" w:hAnsi="仿宋_GB2312" w:cs="仿宋_GB2312" w:eastAsia="仿宋_GB2312"/>
              </w:rPr>
              <w:t>年新增村道的安防护栏工程需求数据进行人工审核，为后续的实地复核工作提供数据基础。</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外业复核工作：制定《陕西省农村公路安防工程核查外业复核工作方案》明确外业复核工作的范围、安排、要求，并依据相关法律法规、政策规定以及实践经验，制定详细的外业复核标准与流程，明确复核的具体内容、要求和依据。安排专业技术人员对内业复核后的数据开展现场实地调查核对，重点调查审核路侧危险等级和对应设置护栏防护等级，并征求地方交通部门意见，根据意见对已经复核数据的轨迹、基本信息、照片等信息进行最终审核与完善，形成核查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1、保密：根据中华人民共和国民法典的有关规定，本项目的工作成果甲方拥有，未经甲方同意乙方不得给与本项目无关的第三方使用详见服务要求。 2、服务要求 成交供应商应根据采购人提出的主要研究内容，明确相应的技术服务部门，以及足够的、相对固定的技术人员，作为完成本次核查任务的基本力量，明确内部管理模式，建立健全质量保证体系，保证工作质量和进度。系统开发相关技术人员应熟悉陕西省农村公路安防工程系统代码语言与系统架构，严格按照国家和行业技术标准及项目规定的“技术要求和规范”对本系统进行升级，并严格遵守相关保密制度。参与核查任务的人员应当熟悉陕西省农村公路网以及安全生命防护工程情况，具有较高的专业素质、较强的技术能力，能够遵守国家法律法规，坚持原则，恪守职业道德，客观公正，责任心强。 （二）最终成果 1、陕西省农村公路防护栏工程需求数据库； 2、陕西省农村公路防护栏工程需求核查报告。 （三）质保期：项目验收合格后1年 （四）质量保证： 1、保证数据采集全面，系统运行稳定可靠，全面满足采购要求。 2、符合国家有关规范要求。 3、供应商必须满足所有的参数要求，由此产生的风险由供应商自行承担。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自合同签订之日起一年，三个月之内完成内业及外业核查并出具核查报告。完成合同约定全部内容可提交履约验收。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合同签订前，乙方须向甲方缴纳合同总金额5%的履约保证金，合同签订后，甲方收到履约保证金及增值税普通发票后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乙方完成内业及外业核查并出具核查报告后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乙方提交项目全部成果报告并经甲方确认合格后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 质量保证 （1）保证技术指标先进、质量性能可靠，全面满足采购要求。 （2）符合国家有关规范要求。 （3）5.4.6确定中标候选人名单修改为：采用综合评分法的，评标结果按评审后得分由高到低顺序排列。得分相同的，按报价由低到高顺序排列。得分且报价相同的并列。评审得分且最后报价相同的，按照技术指标优劣顺序推荐，得分最高的供应商为排名第一的中标候选人 3.4.2 保密条款 1.乙方在甲方单位服务期间，必须遵守甲方规定的任何成文或不成文的保密规章、制度，履行与其工作相应的保密职责。 2.乙方承诺，甲方的保密规章、制度没有规定或者规定不明确之处，乙方亦应本着谨慎、诚实的态度，维护其于服务期间知悉的技术秘密或其他秘密信息，以保持其机密性。 3.除了履行服务职责的需要之外，乙方承诺，未经甲方同意，不得以任何方式向甲方指定人员以外的其他任何人或单位传递属于甲方的秘密。 4.乙方服务结束之后仍对其在甲方服务期间接触、知悉的属于甲方的技术秘密和其他秘密信息，承担如同服务期间一样的保密义务，而无论乙方因何种原因结束技术服务。 5.乙方承诺，在为甲方履行技术服务时，不得擅自使用任何属于他人的技术秘密或其他秘密信息。 6.乙方因工作上的需要所持有或保管的一切记录着甲方秘密信息的文件、资料、图表、笔记、报告、信件、磁带、磁盘、仪器以及其他任何形式的载体，均归甲方所有。 7.乙方应当于技术服务结束时，或者于甲方提出请求时，返还全部记载着甲方秘密信息的一切载体。</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并按照资格证明文件中的格式提供承诺书。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法定代表人（单位负责人）参加磋商的，提供本人身份证复印件；法定代表人（单位负责人）授权他人参加磋商的，提供法定代表人（单位负责人）委托授权书提供示被授权代表的身份证复印件；</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供应商应具备有效的工程设计综合资质甲级，或公路行业工程设计甲级，或公路行业（公路）专业甲级及以上资质；</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供应商不得在“信用中国”被列入失信被执行人、政府采购严重违法失信行为记录名单、重大税收违法失信主体。</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供应商不得在“中国政府采购网”被列入政府采购严重违法失信行为信息记录。</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单位负责人为同一人或者存在控股、管理关系的不同单位，不得在同一标段中同时提出投标申请。</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本项目不接受联合体投标。供应商需提供承诺书。</w:t>
            </w:r>
          </w:p>
        </w:tc>
        <w:tc>
          <w:tcPr>
            <w:tcW w:type="dxa" w:w="1661"/>
          </w:tcPr>
          <w:p>
            <w:pPr>
              <w:pStyle w:val="null3"/>
            </w:pPr>
            <w:r>
              <w:rPr>
                <w:rFonts w:ascii="仿宋_GB2312" w:hAnsi="仿宋_GB2312" w:cs="仿宋_GB2312" w:eastAsia="仿宋_GB2312"/>
              </w:rPr>
              <w:t>承诺书.docx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1）不同供应商的响应文件由同一单位或者个人编制；（2）不同供应商委托同一单位或者个人办理磋商事宜；（3）不同供应商的响应文件载明的项目管理成员为同一人；（4）不同供应商的响应文件异常一致或者磋商报价呈规律性差异；（5）不同供应商的响应文件相互混装；（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供应商应按竞争性磋商文件要求对招标文件进行电子签章。</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根据供应商的总体服务方案进行评审：（对本项目工作范围、服务工作的理解包含但不限于对制定总体工作方案、内业复核工作、外业复核工作等。） 1.对项目工作内容进行了详细的分析和策划，满足招标内容及要求；对项目的理解科学合理、准确，能够充分满足项目要求的，得10分； 2.对项目工作内容有较详细的分析和策划，对项目的理解较科学合理、较准确，能够满足项目要求的，得8分； 3.对项目工作内容的分析和策划，对项目的理解基本科学合理、准确，基本满足项目要求的，得6分； 4.对项目工作内容分析和策划一般，对招标内容及要求有欠缺；项目的理解基本到位的得4分； 5.对项目工作内容分析和策划有明显欠缺，对招标内容及要求响应有明显欠缺，项目的理解明显偏差的得2分； 6.未提供的得0分。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内外业核查技术方案</w:t>
            </w:r>
          </w:p>
        </w:tc>
        <w:tc>
          <w:tcPr>
            <w:tcW w:type="dxa" w:w="2492"/>
          </w:tcPr>
          <w:p>
            <w:pPr>
              <w:pStyle w:val="null3"/>
            </w:pPr>
            <w:r>
              <w:rPr>
                <w:rFonts w:ascii="仿宋_GB2312" w:hAnsi="仿宋_GB2312" w:cs="仿宋_GB2312" w:eastAsia="仿宋_GB2312"/>
              </w:rPr>
              <w:t>根据供应商针对本项目提供内外业核查技术方案情况进行评审：（核查技术手段，核查内容、标准制定等） 1.对内外业核查技术方案进行了详细的分析和策划、满足项目要求，标准制定科学合理、准确、针对性强，得10分； 2.对内外业核查技术方案进行了较详细的分析和策划，基本满足项目要求，标准制定较科学合理、准确、针对性，得8分； 3.对内外业核查技术方案进行了分析和策划一般，对招标内容及要求基本响应；标准制定基本合理、基本准确、针对性稍有欠缺的的得6分； 4.对内外业核查技术方案进行了分析和策划，对招标内容及要求响应明显欠缺；标准制定准确性、针对性有所偏差，得4分； 5.对内外业核查技术方案进行了分析和策划较差，对招标内容及要求响应有明显欠缺；标准制定基本不合理、不准确、针对性较差的得2分； 6.未提供的得0分。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质量、进度保证措施</w:t>
            </w:r>
          </w:p>
        </w:tc>
        <w:tc>
          <w:tcPr>
            <w:tcW w:type="dxa" w:w="2492"/>
          </w:tcPr>
          <w:p>
            <w:pPr>
              <w:pStyle w:val="null3"/>
            </w:pPr>
            <w:r>
              <w:rPr>
                <w:rFonts w:ascii="仿宋_GB2312" w:hAnsi="仿宋_GB2312" w:cs="仿宋_GB2312" w:eastAsia="仿宋_GB2312"/>
              </w:rPr>
              <w:t>根据供应商针对本项目提供的质量、进度保证措施安排内容进行评审：（质量、进度保证措施安排包括但不限于服务质量保障方案、 质量控制体系、进度计划安排、进度保证措施等） 1.质量、进度保证措施安排具体、科学合理，充分满足项目要求，针对性强，得5分； 2.质量、进度保证措施安排具体详细，能够满足项目要求，针对性较强，得4分； 3.质量、进度保证措施安排较为具体，基本满足项目要求，具有一定的合理性、针对性的得3分； 4.质量、进度保证措施安排不够具体，合理性、针对性稍有欠缺的得2分； 5.质量、进度保证措施安排不具体，不符合项目实际要求有部分缺漏，合理性、针对性较差的得1分； 6.未提供方案的得0分。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现场核查人员安全保障措施</w:t>
            </w:r>
          </w:p>
        </w:tc>
        <w:tc>
          <w:tcPr>
            <w:tcW w:type="dxa" w:w="2492"/>
          </w:tcPr>
          <w:p>
            <w:pPr>
              <w:pStyle w:val="null3"/>
            </w:pPr>
            <w:r>
              <w:rPr>
                <w:rFonts w:ascii="仿宋_GB2312" w:hAnsi="仿宋_GB2312" w:cs="仿宋_GB2312" w:eastAsia="仿宋_GB2312"/>
              </w:rPr>
              <w:t>根据供应商提供现场核查人员安全保障措施的内容进行评审： 1.安全保障措施有效，可操作性强，科学合理、可行的得5分； 2.安全保障措施基本可行，具有一定的合理性、针对性仍需完善的得3分； 3.安全保障措施有部分缺漏，合理性、针对性较差得1分； 4.未提供的得0分。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根据供应商提供的应急预案内容进行评审：（针对交通事故、极端天气、夜间作业、威胁人身安全等事件提供详尽可行的应急预案） 1.预案详尽可行、科学合理、针对性强的得5分； 2.预案基本可行，具有一定的合理性、针对性的得3分； 3.预案基本可行，但仍需完善，合理性、针对性较差得1分； 4.未提供的得0分。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组织机构及人员配备方案</w:t>
            </w:r>
          </w:p>
        </w:tc>
        <w:tc>
          <w:tcPr>
            <w:tcW w:type="dxa" w:w="2492"/>
          </w:tcPr>
          <w:p>
            <w:pPr>
              <w:pStyle w:val="null3"/>
            </w:pPr>
            <w:r>
              <w:rPr>
                <w:rFonts w:ascii="仿宋_GB2312" w:hAnsi="仿宋_GB2312" w:cs="仿宋_GB2312" w:eastAsia="仿宋_GB2312"/>
              </w:rPr>
              <w:t>根据供应商人员配备方案（组织机构及人员分工安排包括但不限于组织机构搭建、人员整体部署、岗位职责分工、各岗位之间配合协调措施等）进行评审： 1.具有稳定的技术服务团队，组织机构搭建、人员整体部署合理，岗位职责分工明确，责任清晰，各岗位之间配合协调措施完善、科学合理、完全满足项目要求，针对性强得5分； 2.组织机构搭建、人员整体部署较合理，岗位职责分工较明确，责任较清晰，各岗位之间配合协调措施较完善得、人员配备有一定的可行性，基本满足项目要求，具有一定针对性的得3分； 3.组织机构搭建、人员整体部署不合理，岗位职责分工不明确，责任不清晰，各岗位之间配合协调措施不完善、人员配备有部分缺漏，合理性、针对性较差得1分； 4.未提供的得0分。 至开标前内任意1个月的社保缴纳证明或社保局出具的有效证明材料或劳动合同，未能提供有效证明材料或证明材料不完整的不计入评分。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服务承诺包含但不限于对后期服务的保证措施 、能够处理各类紧急事项的措施，保证项目实施，能够保证在规定的时间解决问题。承诺内容切实可行。 1.措施方案考虑全面、内容完整、重点突出、具有针对性和可行性的得5分； 2.措施方案较为全面、内容较为完整、重点内容体现、较有针对性和可行性的3分； 3.措施方案较差、考虑不够全面、内容不够完整、重点内容未体现的得1分。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1.具有公路相关专业高级技术职称得2分，中级技术职称得1分； 2.2022年1月1日至投标文件递交截止日，担任过5条公路安全生命防护工程（含安全设施及隐患治理类）或安全设施精细化咨询、设计业绩，得2分，每增加1条加1分，最多加4分。 评审依据：须提供项目负责人的身份证、相关证书复印件和2024年6月至开标前内任意连续3个月的社保缴纳证明或社保局出具的有效证明材料或劳动合同，未能提供有效证明材料或证明材料不完整的成员不计入评分。业绩需提供包括但不限于能体现相关人员姓名的合同、中标通知书或业主证明材料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1.具有公路相关专业高级技术职称得2分，中级技术职称得1分； 2.2022年1月1日至投标文件递交截止日，担任过5条公路安全生命防护工程（含安全设施及隐患治理类）或安全设施精细化咨询、设计业绩的技术负责人，得2分，每增加1条加1分，最多加4分。 评审依据：须提供技术负责人的身份证、相关证书复印件和2024年6月至开标前内任意连续3个月的社保缴纳证明或社保局出具的有效证明材料或劳动合同，未能提供有效证明材料或证明材料不完整的成员不计入评分。业绩需提供包括但不限于能体现相关人员姓名的合同、中标通知书或业主证明材料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外业核查人员</w:t>
            </w:r>
          </w:p>
        </w:tc>
        <w:tc>
          <w:tcPr>
            <w:tcW w:type="dxa" w:w="2492"/>
          </w:tcPr>
          <w:p>
            <w:pPr>
              <w:pStyle w:val="null3"/>
            </w:pPr>
            <w:r>
              <w:rPr>
                <w:rFonts w:ascii="仿宋_GB2312" w:hAnsi="仿宋_GB2312" w:cs="仿宋_GB2312" w:eastAsia="仿宋_GB2312"/>
              </w:rPr>
              <w:t>1.外业核查人员不少于5人，成员中每具有一名公路相关专业中级及以上职称得0.6分，满分3分；成员中参与过公路交安设施设计工作，每具备一名得0.6分，满分3分；同等条件每增加1人（具备中级及以上职称，参与过公路交安设施设计工作）加0.5分，最多加2分。 评审依据：须提供所有项目组成员的身份证、相关证书复印件和2024年6月至开标前内任意连续3个月的社保缴纳证明或社保局出具的有效证明材料或劳动合同，未能提供有效证明材料或证明材料不完整的成员不计入评分。业绩需提供包括但不限于能体现相关人员姓名的合同、中标通知书或业主证明材料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投标文件中提供该供应商自2022年1月1日起至投标文件递交截止前，完成过10条公路安全生命防护工程（含安全设施及隐患治理类）或安全设施精细化咨询、设计、核查业绩，得10分，每增加1条类似业绩加0.5分，最多加6分。 评审依据：提供合同复印件或中标通知书或业主证明材料加盖公章，未提供不得分。注：以合同签订时间为准，供应商应在响应文件中提供业绩合同复印件或扫描件且加盖单位公章。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拟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