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6C17F">
      <w:pPr>
        <w:pStyle w:val="7"/>
        <w:rPr>
          <w:highlight w:val="none"/>
        </w:rPr>
      </w:pPr>
    </w:p>
    <w:p w14:paraId="4E0CD272">
      <w:pPr>
        <w:adjustRightInd w:val="0"/>
        <w:snapToGrid w:val="0"/>
        <w:spacing w:line="360" w:lineRule="auto"/>
        <w:jc w:val="center"/>
        <w:rPr>
          <w:rFonts w:hint="eastAsia" w:ascii="宋体" w:hAnsi="宋体" w:eastAsia="宋体" w:cs="宋体"/>
          <w:b/>
          <w:bCs/>
          <w:spacing w:val="26"/>
          <w:sz w:val="44"/>
          <w:szCs w:val="44"/>
          <w:highlight w:val="none"/>
          <w:lang w:eastAsia="zh-CN"/>
        </w:rPr>
      </w:pPr>
      <w:r>
        <w:rPr>
          <w:rFonts w:hint="eastAsia" w:ascii="宋体" w:hAnsi="宋体" w:cs="宋体"/>
          <w:b/>
          <w:bCs/>
          <w:spacing w:val="26"/>
          <w:sz w:val="44"/>
          <w:szCs w:val="44"/>
          <w:highlight w:val="none"/>
          <w:lang w:eastAsia="zh-CN"/>
        </w:rPr>
        <w:t>西安工程大学</w:t>
      </w:r>
    </w:p>
    <w:p w14:paraId="0E693E38">
      <w:pPr>
        <w:adjustRightInd w:val="0"/>
        <w:snapToGrid w:val="0"/>
        <w:spacing w:line="360" w:lineRule="auto"/>
        <w:jc w:val="center"/>
        <w:rPr>
          <w:rFonts w:hint="eastAsia" w:ascii="宋体" w:hAnsi="宋体" w:eastAsia="宋体" w:cs="宋体"/>
          <w:b/>
          <w:bCs/>
          <w:spacing w:val="26"/>
          <w:sz w:val="36"/>
          <w:szCs w:val="36"/>
          <w:highlight w:val="none"/>
          <w:lang w:eastAsia="zh-CN"/>
        </w:rPr>
      </w:pPr>
      <w:r>
        <w:rPr>
          <w:rFonts w:hint="eastAsia" w:ascii="宋体" w:hAnsi="宋体" w:cs="宋体"/>
          <w:b/>
          <w:bCs/>
          <w:spacing w:val="26"/>
          <w:sz w:val="44"/>
          <w:szCs w:val="44"/>
          <w:highlight w:val="none"/>
          <w:lang w:eastAsia="zh-CN"/>
        </w:rPr>
        <w:t>学位论文质量监测服务项目</w:t>
      </w:r>
    </w:p>
    <w:p w14:paraId="651D3EB0">
      <w:pPr>
        <w:spacing w:line="360" w:lineRule="auto"/>
        <w:jc w:val="center"/>
        <w:rPr>
          <w:rFonts w:hint="eastAsia" w:ascii="宋体" w:hAnsi="宋体" w:cs="宋体"/>
          <w:b/>
          <w:bCs/>
          <w:spacing w:val="26"/>
          <w:sz w:val="84"/>
          <w:szCs w:val="84"/>
          <w:highlight w:val="none"/>
        </w:rPr>
      </w:pPr>
    </w:p>
    <w:p w14:paraId="0C9F4C6E">
      <w:pPr>
        <w:pStyle w:val="2"/>
        <w:rPr>
          <w:rFonts w:hint="eastAsia"/>
          <w:highlight w:val="none"/>
          <w:lang w:eastAsia="zh-CN"/>
        </w:rPr>
      </w:pPr>
    </w:p>
    <w:p w14:paraId="4CFB2536">
      <w:pPr>
        <w:spacing w:line="360" w:lineRule="auto"/>
        <w:jc w:val="center"/>
        <w:rPr>
          <w:rFonts w:hint="eastAsia" w:ascii="宋体" w:hAnsi="宋体" w:cs="宋体"/>
          <w:b/>
          <w:bCs/>
          <w:sz w:val="84"/>
          <w:szCs w:val="84"/>
          <w:highlight w:val="none"/>
        </w:rPr>
      </w:pPr>
      <w:r>
        <w:rPr>
          <w:rFonts w:hint="eastAsia" w:ascii="宋体" w:hAnsi="宋体" w:cs="宋体"/>
          <w:b/>
          <w:bCs/>
          <w:sz w:val="84"/>
          <w:szCs w:val="84"/>
          <w:highlight w:val="none"/>
        </w:rPr>
        <w:t>服务合同</w:t>
      </w:r>
    </w:p>
    <w:p w14:paraId="12A09EAF">
      <w:pPr>
        <w:spacing w:line="360" w:lineRule="auto"/>
        <w:ind w:firstLine="2570" w:firstLineChars="800"/>
        <w:jc w:val="both"/>
        <w:rPr>
          <w:rFonts w:hint="default" w:ascii="宋体" w:hAnsi="宋体" w:cs="宋体" w:eastAsiaTheme="minorEastAsia"/>
          <w:b/>
          <w:bCs/>
          <w:spacing w:val="26"/>
          <w:sz w:val="36"/>
          <w:szCs w:val="36"/>
          <w:highlight w:val="none"/>
          <w:u w:val="single"/>
          <w:lang w:val="en-US" w:eastAsia="zh-CN"/>
        </w:rPr>
      </w:pPr>
      <w:r>
        <w:rPr>
          <w:rFonts w:hint="eastAsia" w:ascii="宋体" w:hAnsi="宋体" w:cs="宋体"/>
          <w:b/>
          <w:bCs/>
          <w:sz w:val="32"/>
          <w:szCs w:val="32"/>
          <w:highlight w:val="none"/>
        </w:rPr>
        <w:t>项目编号：</w:t>
      </w:r>
      <w:r>
        <w:rPr>
          <w:rFonts w:hint="eastAsia" w:ascii="宋体" w:hAnsi="宋体" w:cs="宋体"/>
          <w:b/>
          <w:bCs/>
          <w:spacing w:val="26"/>
          <w:sz w:val="36"/>
          <w:szCs w:val="36"/>
          <w:highlight w:val="none"/>
        </w:rPr>
        <w:t xml:space="preserve"> </w:t>
      </w:r>
      <w:r>
        <w:rPr>
          <w:rFonts w:hint="eastAsia" w:ascii="宋体" w:hAnsi="宋体" w:cs="宋体"/>
          <w:b/>
          <w:bCs/>
          <w:spacing w:val="26"/>
          <w:sz w:val="36"/>
          <w:szCs w:val="36"/>
          <w:highlight w:val="none"/>
          <w:u w:val="single"/>
          <w:lang w:val="en-US" w:eastAsia="zh-CN"/>
        </w:rPr>
        <w:t xml:space="preserve">        </w:t>
      </w:r>
    </w:p>
    <w:p w14:paraId="1CAB14B3">
      <w:pPr>
        <w:spacing w:line="360" w:lineRule="auto"/>
        <w:rPr>
          <w:rFonts w:hint="eastAsia" w:ascii="宋体" w:hAnsi="宋体" w:cs="宋体"/>
          <w:b/>
          <w:sz w:val="32"/>
          <w:szCs w:val="32"/>
          <w:highlight w:val="none"/>
        </w:rPr>
      </w:pPr>
    </w:p>
    <w:p w14:paraId="4BD3157E">
      <w:pPr>
        <w:spacing w:line="360" w:lineRule="auto"/>
        <w:rPr>
          <w:rFonts w:hint="eastAsia" w:ascii="宋体" w:hAnsi="宋体" w:cs="宋体"/>
          <w:b/>
          <w:sz w:val="32"/>
          <w:szCs w:val="32"/>
          <w:highlight w:val="none"/>
        </w:rPr>
      </w:pPr>
    </w:p>
    <w:p w14:paraId="69E9767D">
      <w:pPr>
        <w:spacing w:line="360" w:lineRule="auto"/>
        <w:rPr>
          <w:rFonts w:hint="eastAsia" w:ascii="宋体" w:hAnsi="宋体" w:cs="宋体"/>
          <w:b/>
          <w:sz w:val="32"/>
          <w:szCs w:val="32"/>
          <w:highlight w:val="none"/>
        </w:rPr>
      </w:pPr>
    </w:p>
    <w:p w14:paraId="0FA9DAC4">
      <w:pPr>
        <w:spacing w:line="360" w:lineRule="auto"/>
        <w:rPr>
          <w:rFonts w:hint="eastAsia" w:ascii="宋体" w:hAnsi="宋体" w:cs="宋体"/>
          <w:b/>
          <w:sz w:val="32"/>
          <w:szCs w:val="32"/>
          <w:highlight w:val="none"/>
        </w:rPr>
      </w:pPr>
    </w:p>
    <w:p w14:paraId="69338C87">
      <w:pPr>
        <w:pStyle w:val="2"/>
        <w:rPr>
          <w:rFonts w:hint="eastAsia"/>
          <w:highlight w:val="none"/>
          <w:lang w:eastAsia="zh-CN"/>
        </w:rPr>
      </w:pPr>
    </w:p>
    <w:p w14:paraId="5B11D8DE">
      <w:pPr>
        <w:rPr>
          <w:rFonts w:hint="eastAsia"/>
          <w:highlight w:val="none"/>
        </w:rPr>
      </w:pPr>
    </w:p>
    <w:p w14:paraId="22A489C3">
      <w:pPr>
        <w:spacing w:line="360" w:lineRule="auto"/>
        <w:rPr>
          <w:rFonts w:hint="eastAsia" w:ascii="宋体" w:hAnsi="宋体" w:cs="宋体"/>
          <w:b/>
          <w:sz w:val="32"/>
          <w:szCs w:val="32"/>
          <w:highlight w:val="none"/>
        </w:rPr>
      </w:pPr>
    </w:p>
    <w:p w14:paraId="7510EF9B">
      <w:pPr>
        <w:spacing w:line="360" w:lineRule="auto"/>
        <w:jc w:val="center"/>
        <w:rPr>
          <w:rFonts w:ascii="宋体" w:hAnsi="宋体" w:cs="宋体"/>
          <w:b/>
          <w:bCs/>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lang w:eastAsia="zh-CN"/>
        </w:rPr>
        <w:t>西安工程大学</w:t>
      </w:r>
    </w:p>
    <w:p w14:paraId="127457EC">
      <w:pPr>
        <w:spacing w:line="360" w:lineRule="auto"/>
        <w:ind w:firstLine="2108" w:firstLineChars="700"/>
        <w:rPr>
          <w:rFonts w:hint="eastAsia" w:ascii="宋体" w:hAnsi="宋体" w:cs="宋体"/>
          <w:b/>
          <w:bCs/>
          <w:sz w:val="30"/>
          <w:szCs w:val="30"/>
          <w:highlight w:val="none"/>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p>
    <w:p w14:paraId="71EA35DF">
      <w:pPr>
        <w:jc w:val="center"/>
        <w:rPr>
          <w:rFonts w:hint="eastAsia" w:ascii="宋体" w:hAnsi="宋体" w:cs="宋体"/>
          <w:highlight w:val="none"/>
        </w:rPr>
      </w:pPr>
      <w:r>
        <w:rPr>
          <w:rFonts w:hint="eastAsia" w:ascii="宋体" w:hAnsi="宋体" w:cs="宋体"/>
          <w:b/>
          <w:bCs/>
          <w:spacing w:val="26"/>
          <w:sz w:val="30"/>
          <w:szCs w:val="30"/>
          <w:highlight w:val="none"/>
        </w:rPr>
        <w:t>日期：</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3010D1D3">
      <w:pPr>
        <w:rPr>
          <w:rFonts w:hint="eastAsia" w:ascii="宋体" w:hAnsi="宋体" w:cs="宋体"/>
          <w:highlight w:val="none"/>
        </w:rPr>
      </w:pPr>
    </w:p>
    <w:p w14:paraId="33B50338">
      <w:pPr>
        <w:rPr>
          <w:rFonts w:hint="eastAsia" w:ascii="宋体" w:hAnsi="宋体" w:cs="宋体"/>
          <w:highlight w:val="none"/>
        </w:rPr>
      </w:pPr>
    </w:p>
    <w:p w14:paraId="47C52647">
      <w:pPr>
        <w:adjustRightInd w:val="0"/>
        <w:snapToGrid w:val="0"/>
        <w:spacing w:line="360" w:lineRule="auto"/>
        <w:rPr>
          <w:rFonts w:hint="eastAsia" w:ascii="宋体" w:hAnsi="宋体" w:cs="宋体"/>
          <w:b/>
          <w:sz w:val="24"/>
          <w:highlight w:val="none"/>
        </w:rPr>
      </w:pPr>
    </w:p>
    <w:p w14:paraId="3517490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甲方：</w:t>
      </w:r>
      <w:r>
        <w:rPr>
          <w:rFonts w:hint="eastAsia" w:ascii="宋体" w:hAnsi="宋体" w:eastAsia="宋体" w:cs="宋体"/>
          <w:bCs/>
          <w:sz w:val="24"/>
          <w:szCs w:val="24"/>
          <w:highlight w:val="none"/>
          <w:u w:val="single"/>
          <w:lang w:val="en-US" w:eastAsia="zh-CN"/>
        </w:rPr>
        <w:t xml:space="preserve">                 </w:t>
      </w:r>
    </w:p>
    <w:p w14:paraId="2D538023">
      <w:pPr>
        <w:keepNext w:val="0"/>
        <w:keepLines w:val="0"/>
        <w:pageBreakBefore w:val="0"/>
        <w:widowControl/>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u w:val="single"/>
          <w:lang w:val="en-US" w:eastAsia="zh-CN"/>
        </w:rPr>
        <w:t xml:space="preserve">                 </w:t>
      </w:r>
    </w:p>
    <w:p w14:paraId="0AF36DC1">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依据《中华人民共和国民法典》等相关规定，甲乙双方在平等自愿的基础上，经协商一致就学位论文质量监测工作达成合作协议，以明确双方的责权并保证共同遵守以下协议内容。</w:t>
      </w:r>
    </w:p>
    <w:p w14:paraId="0FA14A85">
      <w:p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服务内容</w:t>
      </w:r>
    </w:p>
    <w:p w14:paraId="1A3C18D5">
      <w:pPr>
        <w:spacing w:line="560" w:lineRule="exact"/>
        <w:ind w:firstLine="480" w:firstLineChars="200"/>
        <w:rPr>
          <w:rFonts w:hint="eastAsia" w:ascii="宋体" w:hAnsi="宋体" w:eastAsia="宋体" w:cs="宋体"/>
          <w:sz w:val="24"/>
          <w:szCs w:val="24"/>
          <w:highlight w:val="none"/>
        </w:rPr>
      </w:pPr>
      <w:bookmarkStart w:id="0" w:name="_Hlk499735660"/>
      <w:r>
        <w:rPr>
          <w:rFonts w:hint="eastAsia" w:ascii="宋体" w:hAnsi="宋体" w:eastAsia="宋体" w:cs="宋体"/>
          <w:sz w:val="24"/>
          <w:szCs w:val="24"/>
          <w:highlight w:val="none"/>
        </w:rPr>
        <w:t>经协商，甲乙双方就学位论文质量监测工作开展合作：</w:t>
      </w:r>
    </w:p>
    <w:p w14:paraId="0A5883B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乙方作为专业评价机构，为甲方提供学位论文质量监测服务平台（以下简称平台）、同行评议专家资源和评议过程技术服务。</w:t>
      </w:r>
    </w:p>
    <w:p w14:paraId="07521E41">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甲方作为学位论文质量监测责任主体，依托乙方上述服务自主组织开展：</w:t>
      </w:r>
    </w:p>
    <w:p w14:paraId="5E4ECBA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52"/>
      </w:r>
      <w:r>
        <w:rPr>
          <w:rFonts w:hint="eastAsia" w:ascii="宋体" w:hAnsi="宋体" w:eastAsia="宋体" w:cs="宋体"/>
          <w:sz w:val="24"/>
          <w:szCs w:val="24"/>
          <w:highlight w:val="none"/>
        </w:rPr>
        <w:t xml:space="preserve"> 1.博士学位论文答辩前评议</w:t>
      </w:r>
    </w:p>
    <w:p w14:paraId="31C29CD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52"/>
      </w:r>
      <w:r>
        <w:rPr>
          <w:rFonts w:hint="eastAsia" w:ascii="宋体" w:hAnsi="宋体" w:eastAsia="宋体" w:cs="宋体"/>
          <w:sz w:val="24"/>
          <w:szCs w:val="24"/>
          <w:highlight w:val="none"/>
        </w:rPr>
        <w:t xml:space="preserve"> 2.硕士学位论文答辩前评议</w:t>
      </w:r>
    </w:p>
    <w:p w14:paraId="07598E0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 3.博士学位论文答辩后抽检评议</w:t>
      </w:r>
    </w:p>
    <w:p w14:paraId="130BBB9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 4.硕士学位论文答辩后抽检评议</w:t>
      </w:r>
    </w:p>
    <w:bookmarkEnd w:id="0"/>
    <w:p w14:paraId="016912C9">
      <w:pPr>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甲方权利</w:t>
      </w:r>
    </w:p>
    <w:p w14:paraId="1AA32866">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甲方有权依据国家及本单位研究生学位论文质量管理有关规定，自主制定学位论文评议要素及要求，在平台中自主设置博士、硕士学位论文相应评审项目评阅书模板。</w:t>
      </w:r>
    </w:p>
    <w:p w14:paraId="5802DD84">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甲方有权决定是否对待评审学位论文材料中的学位论文作者、导师等信息进行隐匿处理，如未做处理，有关专家在评议过程中将可查看相关信息。</w:t>
      </w:r>
    </w:p>
    <w:p w14:paraId="4B9C4DF4">
      <w:pPr>
        <w:numPr>
          <w:ilvl w:val="0"/>
          <w:numId w:val="2"/>
        </w:numPr>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甲方有权按如下条件“自动遴选”学位论文评议专家：</w:t>
      </w:r>
    </w:p>
    <w:p w14:paraId="01F9F0C8">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1.学术学位论文和专业学位论文分别在学位论文所属《研究生教育学科专业目录》的一级学科和专业学位类别范围内遴选专家。</w:t>
      </w:r>
    </w:p>
    <w:p w14:paraId="6342EAF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2.遴选专家所在单位类型：</w:t>
      </w:r>
    </w:p>
    <w:p w14:paraId="100D31A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优先一流大学建设高校 </w:t>
      </w:r>
    </w:p>
    <w:p w14:paraId="4B09EE88">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优先“双一流”建设高校和科研院所 </w:t>
      </w:r>
    </w:p>
    <w:p w14:paraId="27BEC30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52"/>
      </w:r>
      <w:r>
        <w:rPr>
          <w:rFonts w:hint="eastAsia" w:ascii="宋体" w:hAnsi="宋体" w:eastAsia="宋体" w:cs="宋体"/>
          <w:sz w:val="24"/>
          <w:szCs w:val="24"/>
          <w:highlight w:val="none"/>
        </w:rPr>
        <w:t xml:space="preserve">优先一流学科建设高校、科研院所和非“双一流”建设高校 </w:t>
      </w:r>
    </w:p>
    <w:p w14:paraId="78073E30">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全部高校</w:t>
      </w:r>
    </w:p>
    <w:p w14:paraId="6A3BAAE0">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注：以上选项为单选，且所选选项需包含甲方所在单位类型，当所选单位类型的专家无法满足遴选需求时，平台自动在其他类型单位的专家中遴选。</w:t>
      </w:r>
    </w:p>
    <w:p w14:paraId="1B9CD5E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3.按照学位论文的研究方向、关键词、题目、摘要与专家研究方向进行匹配，如甲方在送评过程中对学位论文的研究方向进行修正，平台自动依据修正后的研究方向进行匹配。</w:t>
      </w:r>
    </w:p>
    <w:p w14:paraId="0A9B82A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4.回避甲方专家（含兼职）。</w:t>
      </w:r>
    </w:p>
    <w:p w14:paraId="42DB7385">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5.博士学位论文遴选：■博士生导师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硕士生导师（教授）；硕士学位论文优先遴选硕士生导师，当硕士生导师不足时，遴选博士生导师。</w:t>
      </w:r>
    </w:p>
    <w:p w14:paraId="7768DD16">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6.学术学位论文遴选学术学位导师；专业学位论文遴选专业学位导师。 </w:t>
      </w:r>
    </w:p>
    <w:p w14:paraId="4174CC98">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7.在符合1-6条件的专家中随机遴选学位论文评议专家。</w:t>
      </w:r>
    </w:p>
    <w:p w14:paraId="2C606D50">
      <w:pPr>
        <w:numPr>
          <w:ilvl w:val="0"/>
          <w:numId w:val="2"/>
        </w:numPr>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甲方有权</w:t>
      </w:r>
      <w:r>
        <w:rPr>
          <w:rFonts w:hint="eastAsia" w:ascii="宋体" w:hAnsi="宋体" w:eastAsia="宋体" w:cs="宋体"/>
          <w:sz w:val="24"/>
          <w:szCs w:val="24"/>
          <w:highlight w:val="none"/>
        </w:rPr>
        <w:t>按如下条件“补充遴选”</w:t>
      </w:r>
      <w:r>
        <w:rPr>
          <w:rFonts w:hint="eastAsia" w:ascii="宋体" w:hAnsi="宋体" w:eastAsia="宋体" w:cs="宋体"/>
          <w:bCs/>
          <w:sz w:val="24"/>
          <w:szCs w:val="24"/>
          <w:highlight w:val="none"/>
        </w:rPr>
        <w:t>学位论文评议专家</w:t>
      </w:r>
      <w:r>
        <w:rPr>
          <w:rFonts w:hint="eastAsia" w:ascii="宋体" w:hAnsi="宋体" w:eastAsia="宋体" w:cs="宋体"/>
          <w:sz w:val="24"/>
          <w:szCs w:val="24"/>
          <w:highlight w:val="none"/>
        </w:rPr>
        <w:t>：</w:t>
      </w:r>
    </w:p>
    <w:p w14:paraId="1430CC2E">
      <w:pPr>
        <w:widowControl/>
        <w:numPr>
          <w:ilvl w:val="255"/>
          <w:numId w:val="0"/>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1.在满足第二条第（三）款必选项和条件7的前提下，在平台内对专家遴选规则进行删减或补充，形成甲方个性化专家补充遴选方案；</w:t>
      </w:r>
    </w:p>
    <w:p w14:paraId="50E519DC">
      <w:pPr>
        <w:widowControl/>
        <w:numPr>
          <w:ilvl w:val="255"/>
          <w:numId w:val="0"/>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2.可申请跨一级学科进行专家遴选，经申请并在平台中完成备案后，在“补充遴选”方案中“忽略”或“指定”一级学科进行专家遴选。</w:t>
      </w:r>
    </w:p>
    <w:p w14:paraId="230B2B15">
      <w:pPr>
        <w:numPr>
          <w:ilvl w:val="0"/>
          <w:numId w:val="2"/>
        </w:numPr>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甲方可自行选择评议专家遴选方式。</w:t>
      </w:r>
    </w:p>
    <w:p w14:paraId="51F4984E">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1.如甲方选择“自动遴选”，即认可第二条第（三）款，平台将按此规则自动遴选专家，并自动发出评议邀请。</w:t>
      </w:r>
    </w:p>
    <w:p w14:paraId="6CA32C8A">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2.如甲方选择“补充遴选”，即认可按第二条第（四）款，平台将按甲方制定的个性化遴选方案遴选专家，并自动发出评议邀请。</w:t>
      </w:r>
    </w:p>
    <w:p w14:paraId="17E04364">
      <w:pPr>
        <w:widowControl/>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3.可在平台内随时转换</w:t>
      </w:r>
      <w:r>
        <w:rPr>
          <w:rFonts w:hint="eastAsia" w:ascii="宋体" w:hAnsi="宋体" w:eastAsia="宋体" w:cs="宋体"/>
          <w:bCs/>
          <w:sz w:val="24"/>
          <w:szCs w:val="24"/>
          <w:highlight w:val="none"/>
        </w:rPr>
        <w:t>评议专家</w:t>
      </w:r>
      <w:r>
        <w:rPr>
          <w:rFonts w:hint="eastAsia" w:ascii="宋体" w:hAnsi="宋体" w:eastAsia="宋体" w:cs="宋体"/>
          <w:sz w:val="24"/>
          <w:szCs w:val="24"/>
          <w:highlight w:val="none"/>
        </w:rPr>
        <w:t>遴选方式，即将“自动遴选”下的学位论文转换至“补充遴选”中，或将“补充遴选”下的学位论文转换至“自动遴选”中；对于在“补充遴选”中修正“研究方向”后的学位论文，可继续进入“自动遴选”，也可在甲方自设遴选方案下“补充遴选”出的专家中进行自主选取。</w:t>
      </w:r>
    </w:p>
    <w:p w14:paraId="357CFD9F">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甲方有权按照本单位学位论文评议需求自主组织学位论文评议工作，把控送评流程，进行学位论文复评、增评、减评等。</w:t>
      </w:r>
    </w:p>
    <w:p w14:paraId="463740DD">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甲方有权决定如何使用专家评议意见。如对专家提交的评议意见存在异议，可在评议意见提交后30天内通过平台向乙方提出，并由双方协商解决。</w:t>
      </w:r>
    </w:p>
    <w:p w14:paraId="4FAB6073">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甲方可开通一个平台一级账户，该账户仅限本单位（部门）负责学位论文质量监测工作且在平台完成实名信息登记认证的管理人员使用。</w:t>
      </w:r>
    </w:p>
    <w:p w14:paraId="728B11E0">
      <w:pPr>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甲方可在一级账户下自主进行二级账户管理。包括：</w:t>
      </w:r>
    </w:p>
    <w:p w14:paraId="0F6D8FAA">
      <w:pPr>
        <w:widowControl/>
        <w:numPr>
          <w:ilvl w:val="0"/>
          <w:numId w:val="3"/>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开通、冻结二级账户，二级账户数量不多于甲方二级学院（系）总数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13</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w:t>
      </w:r>
    </w:p>
    <w:p w14:paraId="0CF4477A">
      <w:pPr>
        <w:widowControl/>
        <w:numPr>
          <w:ilvl w:val="0"/>
          <w:numId w:val="3"/>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管理二级账户的功能权限，包括学位论文信息及材料上传、指定评阅书送评、专家遴选及评议结果下载等。</w:t>
      </w:r>
    </w:p>
    <w:p w14:paraId="297E5502">
      <w:pPr>
        <w:widowControl/>
        <w:numPr>
          <w:ilvl w:val="0"/>
          <w:numId w:val="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与学位论文质量监测工作相关的其他权利。</w:t>
      </w:r>
    </w:p>
    <w:p w14:paraId="35C913E5">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甲方义务</w:t>
      </w:r>
    </w:p>
    <w:p w14:paraId="4D186B73">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甲方为本单位学位论文质量监测行为的责任主体，须正确理解乙方的第三方服务性质，在校内准确宣传本协议条款约定内容，引导导师、学生准确认识乙方第三方服务模式。</w:t>
      </w:r>
    </w:p>
    <w:p w14:paraId="11BD3D56">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确保本单位评阅书模板设置的规范性和合理性，确保上传平台学位论文信息及材料的真实性、准确性和完整性，严禁上传加密或涉密学位论文及相关评议材料。对于论文中涉及科研项目及学术成果等敏感信息，甲方需在上传论文前自行完成脱敏处理。</w:t>
      </w:r>
    </w:p>
    <w:p w14:paraId="65506678">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甲方应及时跟进、自主完成学位论文送评流程。</w:t>
      </w:r>
    </w:p>
    <w:p w14:paraId="2F777FD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1.对上传平台的学位论文、以及对“已确认参评专家”数量小于论文所需评议专家数量的学位论文及时进行专家遴选；</w:t>
      </w:r>
    </w:p>
    <w:p w14:paraId="719ABD2F">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2.对因专家个人原因超过评议时限未提交评议意见、在平台自动解除专家评议关系后仍缺少评议专家的学位论文，及时进行专家遴选；</w:t>
      </w:r>
    </w:p>
    <w:p w14:paraId="2B2509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3.对</w:t>
      </w:r>
      <w:r>
        <w:rPr>
          <w:rFonts w:hint="eastAsia" w:ascii="宋体" w:hAnsi="宋体" w:eastAsia="宋体" w:cs="宋体"/>
          <w:bCs/>
          <w:sz w:val="24"/>
          <w:szCs w:val="24"/>
          <w:highlight w:val="none"/>
        </w:rPr>
        <w:t>需个性化送评或小语种、小学科等存在特殊情况的</w:t>
      </w:r>
      <w:r>
        <w:rPr>
          <w:rFonts w:hint="eastAsia" w:ascii="宋体" w:hAnsi="宋体" w:eastAsia="宋体" w:cs="宋体"/>
          <w:sz w:val="24"/>
          <w:szCs w:val="24"/>
          <w:highlight w:val="none"/>
        </w:rPr>
        <w:t>学位</w:t>
      </w:r>
      <w:r>
        <w:rPr>
          <w:rFonts w:hint="eastAsia" w:ascii="宋体" w:hAnsi="宋体" w:eastAsia="宋体" w:cs="宋体"/>
          <w:bCs/>
          <w:sz w:val="24"/>
          <w:szCs w:val="24"/>
          <w:highlight w:val="none"/>
        </w:rPr>
        <w:t>论文，当甲方在平台进行</w:t>
      </w:r>
      <w:r>
        <w:rPr>
          <w:rFonts w:hint="eastAsia" w:ascii="宋体" w:hAnsi="宋体" w:eastAsia="宋体" w:cs="宋体"/>
          <w:sz w:val="24"/>
          <w:szCs w:val="24"/>
          <w:highlight w:val="none"/>
        </w:rPr>
        <w:t>10次以上专家遴选操作（包括自动遴选和补充遴选）或遴选专家周期超</w:t>
      </w:r>
      <w:r>
        <w:rPr>
          <w:rFonts w:hint="eastAsia" w:ascii="宋体" w:hAnsi="宋体" w:eastAsia="宋体" w:cs="宋体"/>
          <w:color w:val="000000" w:themeColor="text1"/>
          <w:sz w:val="24"/>
          <w:szCs w:val="24"/>
          <w:highlight w:val="none"/>
          <w14:textFill>
            <w14:solidFill>
              <w14:schemeClr w14:val="tx1"/>
            </w14:solidFill>
          </w14:textFill>
        </w:rPr>
        <w:t>过30天</w:t>
      </w:r>
      <w:r>
        <w:rPr>
          <w:rFonts w:hint="eastAsia" w:ascii="宋体" w:hAnsi="宋体" w:eastAsia="宋体" w:cs="宋体"/>
          <w:sz w:val="24"/>
          <w:szCs w:val="24"/>
          <w:highlight w:val="none"/>
        </w:rPr>
        <w:t>仍缺少评议专家时，甲方可终止平台评议并自行线下处理</w:t>
      </w:r>
      <w:r>
        <w:rPr>
          <w:rFonts w:hint="eastAsia" w:ascii="宋体" w:hAnsi="宋体" w:eastAsia="宋体" w:cs="宋体"/>
          <w:bCs/>
          <w:sz w:val="24"/>
          <w:szCs w:val="24"/>
          <w:highlight w:val="none"/>
        </w:rPr>
        <w:t>。</w:t>
      </w:r>
    </w:p>
    <w:p w14:paraId="05B8F6D6">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应保证本单位一级和二级账户管理员、相关工作人员等知悉本协议约定内容，甲方一级账户管理员每年须至少参加一次乙方组织的平台操作培训，并负责本单位二级账户管理员的平台操作培训，对二级账户管理员的平台操作行为进行管控。</w:t>
      </w:r>
    </w:p>
    <w:p w14:paraId="3B51BBC0">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任何情况下，甲方不得私自与评议专家就甲方学位论文评议工作进行直接联系和沟通。</w:t>
      </w:r>
    </w:p>
    <w:p w14:paraId="16CA525E">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不得向被评议学位论文作者和导师透露任何乙方有关信息，包括但不限于平台使用规则、评议专家信息及乙方联系方式等；不得向其他第三方机构或他人提供乙方平台操作指南、相关培训材料，展示平台，包括但不限于信息拷贝、录制视频、页面截图、操作规则、送评数据、专家信息以及乙方信息。</w:t>
      </w:r>
    </w:p>
    <w:p w14:paraId="279A2A4B">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甲方每年定期向乙方提供本单位专业技术职务为副高级及以上职称的博士生导师、硕士生导师及专业学位校外行业兼职导师作为学位论文评议专家，协助乙方对上述专家信息进行及时更新和维护。</w:t>
      </w:r>
    </w:p>
    <w:p w14:paraId="0808E357">
      <w:pPr>
        <w:widowControl/>
        <w:numPr>
          <w:ilvl w:val="0"/>
          <w:numId w:val="4"/>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与学位论文质量监测工作相关的其他义务。</w:t>
      </w:r>
    </w:p>
    <w:p w14:paraId="2EABDF41">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乙方权利</w:t>
      </w:r>
    </w:p>
    <w:p w14:paraId="40B0EA82">
      <w:pPr>
        <w:numPr>
          <w:ilvl w:val="0"/>
          <w:numId w:val="5"/>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在甲方（一级或二级）账户出现下列行为时，乙方有权暂停甲方账户使用权限。甲方一级或二级账户管理员经重新参加培训后，以正式公函形式（加盖法人公章）申请恢复相应账户使用权限。</w:t>
      </w:r>
    </w:p>
    <w:p w14:paraId="4F11E0DA">
      <w:pPr>
        <w:numPr>
          <w:ilvl w:val="0"/>
          <w:numId w:val="6"/>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违背协议约定内容误导导师、学位论文作者等，曲解、转移甲方学位论文送评的主体责任，造成不良后果；</w:t>
      </w:r>
    </w:p>
    <w:p w14:paraId="111B4A39">
      <w:pPr>
        <w:numPr>
          <w:ilvl w:val="0"/>
          <w:numId w:val="6"/>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向平台登记管理员以外的个人及单位转借平台账户；</w:t>
      </w:r>
    </w:p>
    <w:p w14:paraId="55651044">
      <w:pPr>
        <w:numPr>
          <w:ilvl w:val="0"/>
          <w:numId w:val="6"/>
        </w:numPr>
        <w:spacing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出现两次（含）评阅书模板设置错误、评阅书模板与学位论文信息材料匹配错误、单批次送评20篇（含）以上学位论文信息及其附件材料错误等重大操作失误，严重影响专家评议工作。</w:t>
      </w:r>
    </w:p>
    <w:p w14:paraId="7870F7F7">
      <w:pPr>
        <w:numPr>
          <w:ilvl w:val="0"/>
          <w:numId w:val="5"/>
        </w:numPr>
        <w:spacing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与学位论文质量监测工作相关的其他权利。</w:t>
      </w:r>
    </w:p>
    <w:p w14:paraId="58C9A410">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乙方义务</w:t>
      </w:r>
    </w:p>
    <w:p w14:paraId="572AC711">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乙方负责提供智能、精准、高效、安全的学位论文质量监测服务平台，满足甲方学位论文评议功能需求，包括学位论文信息及其附件材料上传、评阅书设置、专家自动遴选或补充遴选、评议结果下载等。</w:t>
      </w:r>
    </w:p>
    <w:p w14:paraId="14735E1D">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乙方须及时响应和解决甲方提出的平台技术问题，定期收集研判甲方的功能需求和建议，对平台功能及时升级优化，为甲方自主开展学位论文评议工作提供技术保障。</w:t>
      </w:r>
    </w:p>
    <w:p w14:paraId="1BA5D376">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乙方负责提供覆盖全国的、类型丰富、层次多样的高水平博士、硕士学位论文评议专家资源，并定期补充专家资源，对专家信息进行更新，保证专家资源充沛，专家信息准确。</w:t>
      </w:r>
    </w:p>
    <w:p w14:paraId="614767BB">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通过平台保障甲方学位论文评议过程中与评议专家间的信息交互，通过平台向专家发送相应消息通知或提醒等；协助甲方与参评专家沟通解决学术意见以外的问题，如：评议意见文字表述或格式错误、平台操作等问题。</w:t>
      </w:r>
    </w:p>
    <w:p w14:paraId="72BBD0BB">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乙方负责通过平台向经甲方遴选后的学位论文评议专家提供参评确认、评议材料阅读、评阅意见填写、评议结果提交等功能。</w:t>
      </w:r>
    </w:p>
    <w:p w14:paraId="7132D038">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为甲方学位论文自主评议工作提供辅助服务，协助甲方一级账户管理员解决在送评过程中遇到的平台操作等技术问题，关注甲方学位论文评议进度，及时提醒甲方完成开始专家遴选操作25天以上的博士学位论文及20天以上的硕士学位论文的送评流程（甲方间隔5天以上未进行遴选专家操作的学位论文除外）。</w:t>
      </w:r>
    </w:p>
    <w:p w14:paraId="60E297F6">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乙方负责及时审核甲方通过平台提出的有关申请，包括：</w:t>
      </w:r>
    </w:p>
    <w:p w14:paraId="6E79FD3A">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1.审核甲方提出的已送评学位论文的评议材料修改或替换申请，但由甲方自行决定是否采用在修改或替换材料前已提交的专家评议意见，已产生的质量监测服务费由甲方支付；</w:t>
      </w:r>
    </w:p>
    <w:p w14:paraId="0C95986D">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2.审核甲方提出的已送评学位论文终止评议申请，对已确认评议的专家不能解除评议关系，但由甲方自行决定是否采用此类专家评议意见，已产生的质量监测服务费由甲方支付。</w:t>
      </w:r>
    </w:p>
    <w:p w14:paraId="79957661">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乙方负责在本协议期满后，对协议期内已收回全部专家评议意见的学位论文进行数据归档，归档后甲方仍可查看、下载学位论文及专家评议意见。</w:t>
      </w:r>
    </w:p>
    <w:p w14:paraId="41B3B38C">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乙方为甲方提供年度学位论文评议情况统计报告，内容包括学位论文送评情况、学位论文评议结果、专家使用情况及服务费使用情况，以及对甲方学位论文质量监测工作的建议等。</w:t>
      </w:r>
    </w:p>
    <w:p w14:paraId="16176B31">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乙方负责每年免费对甲方一级账户管理员进行至少一次平台操作培训，为甲方提供和更新平台操作规程说明等；如甲方需要，乙方每年可为甲方提供一次个性化培训或二级账户管理员专项培训服务。</w:t>
      </w:r>
    </w:p>
    <w:p w14:paraId="03CB5F20">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任何情况下，乙方不得干扰甲方专家遴选工作，不得透露甲方学位论文评议专家个人信息，不得篡改甲方学位论文专家评议结果。</w:t>
      </w:r>
    </w:p>
    <w:p w14:paraId="1692BEF9">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乙方为甲方提供学位论文质量监测服务，不接受甲方学位论文作者、导师等个人对评议结果提出的异议。</w:t>
      </w:r>
    </w:p>
    <w:p w14:paraId="624FFED9">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乙方不得向除甲方评议专家外的其他个人或机构提供甲方任何学位论文评议材料和相关信息，包括但不限于评阅书内容、评议规则、学位论文信息、评议意见等。</w:t>
      </w:r>
    </w:p>
    <w:p w14:paraId="13BA33B0">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乙方负责及时向本协议有效期内实际参与甲方学位论文评议的专家支付劳务费。</w:t>
      </w:r>
    </w:p>
    <w:p w14:paraId="18E53D0C">
      <w:pPr>
        <w:numPr>
          <w:ilvl w:val="0"/>
          <w:numId w:val="7"/>
        </w:numPr>
        <w:spacing w:line="560" w:lineRule="exact"/>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与学位论文质量监测工作相关的其他义务。</w:t>
      </w:r>
    </w:p>
    <w:p w14:paraId="4476AA39">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服务费标准与金额</w:t>
      </w:r>
    </w:p>
    <w:p w14:paraId="0A22D28D">
      <w:pPr>
        <w:numPr>
          <w:ilvl w:val="0"/>
          <w:numId w:val="8"/>
        </w:numPr>
        <w:spacing w:line="560" w:lineRule="exact"/>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u w:val="none"/>
        </w:rPr>
        <w:t>博士学位论文质量监测费（含初评、复评、增评）为￥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元/篇次，其中使用外国语言文字撰写的博士学位论文（不包括文学学科门类）质量监测费（含初评、复评、增评）为￥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元/篇次；硕士学位论文质量监测费（含初评、复评、增评）为￥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元/篇次，其中使用外国语言文字撰写的硕士学位论文（不包括文学学科门类）质量监测费（含初评、复评、增评）为￥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元/篇次。</w:t>
      </w:r>
    </w:p>
    <w:p w14:paraId="1C48FE87">
      <w:pPr>
        <w:numPr>
          <w:ilvl w:val="0"/>
          <w:numId w:val="8"/>
        </w:numPr>
        <w:spacing w:line="56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本协议有效期内甲方预计送评博士学位论文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篇次、硕士学位论文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篇次，</w:t>
      </w:r>
      <w:r>
        <w:rPr>
          <w:rFonts w:hint="eastAsia" w:ascii="宋体" w:hAnsi="宋体" w:eastAsia="宋体" w:cs="宋体"/>
          <w:b/>
          <w:bCs/>
          <w:sz w:val="24"/>
          <w:szCs w:val="24"/>
          <w:highlight w:val="none"/>
        </w:rPr>
        <w:t>其中</w:t>
      </w:r>
      <w:r>
        <w:rPr>
          <w:rFonts w:hint="eastAsia" w:ascii="宋体" w:hAnsi="宋体" w:eastAsia="宋体" w:cs="宋体"/>
          <w:sz w:val="24"/>
          <w:szCs w:val="24"/>
          <w:highlight w:val="none"/>
        </w:rPr>
        <w:t>使用外国语言文字撰写（不包括文学学科门类）的博士学位论文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篇次、硕士学位论文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篇次；预估甲方支付服务费总额为￥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w:t>
      </w:r>
    </w:p>
    <w:p w14:paraId="2453A148">
      <w:pPr>
        <w:numPr>
          <w:ilvl w:val="0"/>
          <w:numId w:val="8"/>
        </w:numPr>
        <w:spacing w:line="56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本协议费用总额依据服务费标准与甲方预估送评学位论文篇次数量进行计算。甲方须如实填写上传平台的论文层次、撰写语种等学位论文信息，以确定适用的费用标准。如出现信息与实际送评学位论文原文不一致的情况，将以学位论文原文为准计费。</w:t>
      </w:r>
    </w:p>
    <w:p w14:paraId="5A20DE58">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费用支付与结算</w:t>
      </w:r>
    </w:p>
    <w:p w14:paraId="6D4F349C">
      <w:pPr>
        <w:numPr>
          <w:ilvl w:val="0"/>
          <w:numId w:val="9"/>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甲方采取分期支付方式，本协议有效期内支付次数不超过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xml:space="preserve"> 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第一次预付金额为采购总金额的60%，合同签订后30日内完成支付；下一次根据当期实际送审篇次结算费用，甲方须于下载《学位论文质量监测费结算说明》（以下简称《结算说明》）并核对后30日内完成支付，乙方根据《结算说明》开具增值税普通发票。</w:t>
      </w:r>
      <w:r>
        <w:rPr>
          <w:rFonts w:hint="eastAsia" w:ascii="宋体" w:hAnsi="宋体" w:eastAsia="宋体" w:cs="宋体"/>
          <w:sz w:val="24"/>
          <w:szCs w:val="24"/>
          <w:highlight w:val="none"/>
        </w:rPr>
        <w:t>费用金额以实际返回评议意见的学位论文篇次数量（即专家实际提交评议意见数量）计算，平台根据甲方学位论文送评进度自动计算费用并在预付款中扣除，甲方可在平台实时查看费用使用情况。</w:t>
      </w:r>
    </w:p>
    <w:p w14:paraId="555E4DF6">
      <w:pPr>
        <w:numPr>
          <w:ilvl w:val="0"/>
          <w:numId w:val="9"/>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可通过网银或支票汇款，汇款时须在“附言”处填入“院系（可选）+论文质量监测”字样，并在平台“缴费管理”中填写汇款信息、上传汇款凭证扫描件，经乙方确认款项到达乙方指定银行账户后，视为完成汇款；若平台收到甲方汇款凭证扫描件但乙方未查询到款项，甲方有义务配合乙方完成汇款情况确认。</w:t>
      </w:r>
    </w:p>
    <w:p w14:paraId="1FAB06AA">
      <w:pPr>
        <w:numPr>
          <w:ilvl w:val="0"/>
          <w:numId w:val="9"/>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本协议有效期满，扣除实际发生的费用后，若存在结余，按第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种方式进行处理。</w:t>
      </w:r>
    </w:p>
    <w:p w14:paraId="59A78BEE">
      <w:pPr>
        <w:numPr>
          <w:ilvl w:val="0"/>
          <w:numId w:val="10"/>
        </w:numPr>
        <w:spacing w:line="56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如需继续开展合作，待签署协议后转为甲方下期协议预付费用。</w:t>
      </w:r>
    </w:p>
    <w:p w14:paraId="30DB038B">
      <w:pPr>
        <w:numPr>
          <w:ilvl w:val="0"/>
          <w:numId w:val="10"/>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甲方提交退款申请，乙方确认后将结余退回至甲方指定银行账户。</w:t>
      </w:r>
    </w:p>
    <w:p w14:paraId="6BD18076">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协议的有效期及变更与终止</w:t>
      </w:r>
    </w:p>
    <w:p w14:paraId="5B5A8638">
      <w:pPr>
        <w:numPr>
          <w:ilvl w:val="0"/>
          <w:numId w:val="11"/>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本协议有效期为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，协议有效期满后自动终止，如需继续开展合作须另行协商签订协议。</w:t>
      </w:r>
    </w:p>
    <w:p w14:paraId="35E839B3">
      <w:pPr>
        <w:numPr>
          <w:ilvl w:val="0"/>
          <w:numId w:val="11"/>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本协议条款不得随意变更或删除，如确须变更协议内容，须经双方协商同意后，另行签订补充协议。</w:t>
      </w:r>
    </w:p>
    <w:p w14:paraId="0F6C556B">
      <w:pPr>
        <w:numPr>
          <w:ilvl w:val="0"/>
          <w:numId w:val="11"/>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因自然灾害、战争、政策调整等不可抗力等原因导致本协议无法履行，本协议将自动终止。协议终止后乙方应于一个月内将扣除实际发生费用后的结余退回甲方。</w:t>
      </w:r>
    </w:p>
    <w:p w14:paraId="700CF13A">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违约责任</w:t>
      </w:r>
    </w:p>
    <w:p w14:paraId="6B346D23">
      <w:pPr>
        <w:numPr>
          <w:ilvl w:val="0"/>
          <w:numId w:val="1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若因甲方人为因素导致送评工作无法顺利进行，影响学位论文送评工作进度以及专家评议结果的，甲方承担违约责任，因此产生的质量监测费由甲方承担，乙方有权暂停甲方平台使用权限或与甲方终止合作。</w:t>
      </w:r>
    </w:p>
    <w:p w14:paraId="1DE6A56A">
      <w:pPr>
        <w:numPr>
          <w:ilvl w:val="0"/>
          <w:numId w:val="1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若因甲方未按约定及时支付质量监测费，导致平台送评服务中断，责任由甲方承担。</w:t>
      </w:r>
    </w:p>
    <w:p w14:paraId="1D3DCB97">
      <w:pPr>
        <w:numPr>
          <w:ilvl w:val="0"/>
          <w:numId w:val="1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若因乙方人为因素导致送评工作无法顺利进行，影响学位论文送评工作进度以及专家评议结果的，乙方承担违约责任，因此产生的质量监测费由乙方承担，甲方有权终止合作。</w:t>
      </w:r>
    </w:p>
    <w:p w14:paraId="3A5CA738">
      <w:pPr>
        <w:numPr>
          <w:ilvl w:val="0"/>
          <w:numId w:val="12"/>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若因人为因素以外的客观原因导致送评工作无法顺利进行，则双方互不承担责任，所产生的费用由双方按照平等原则共同分担。</w:t>
      </w:r>
    </w:p>
    <w:p w14:paraId="283E16EC">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争议解决办法</w:t>
      </w:r>
    </w:p>
    <w:p w14:paraId="18D2329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若双方就本协议内容或在执行过程中发生任何争议，由双方协商或请有关部门调解解决；如协商或调解不成，任一方可向</w:t>
      </w:r>
      <w:r>
        <w:rPr>
          <w:rFonts w:hint="eastAsia" w:ascii="宋体" w:hAnsi="宋体" w:eastAsia="宋体" w:cs="宋体"/>
          <w:sz w:val="24"/>
          <w:szCs w:val="24"/>
          <w:highlight w:val="none"/>
          <w:u w:val="none"/>
        </w:rPr>
        <w:t>乙方</w:t>
      </w:r>
      <w:r>
        <w:rPr>
          <w:rFonts w:hint="eastAsia" w:ascii="宋体" w:hAnsi="宋体" w:eastAsia="宋体" w:cs="宋体"/>
          <w:sz w:val="24"/>
          <w:szCs w:val="24"/>
          <w:highlight w:val="none"/>
        </w:rPr>
        <w:t>所在地的法院提出诉讼。</w:t>
      </w:r>
    </w:p>
    <w:p w14:paraId="5E06E89D">
      <w:pPr>
        <w:widowControl/>
        <w:numPr>
          <w:ilvl w:val="0"/>
          <w:numId w:val="1"/>
        </w:num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其他</w:t>
      </w:r>
    </w:p>
    <w:p w14:paraId="1C3A82D7">
      <w:pPr>
        <w:numPr>
          <w:ilvl w:val="0"/>
          <w:numId w:val="13"/>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本协议经双方法定代表人或授权代表签字并加盖公章或合同专用章后生效。本协议一式</w:t>
      </w:r>
      <w:r>
        <w:rPr>
          <w:rFonts w:hint="eastAsia" w:ascii="宋体" w:hAnsi="宋体" w:eastAsia="宋体" w:cs="宋体"/>
          <w:sz w:val="24"/>
          <w:szCs w:val="24"/>
          <w:highlight w:val="none"/>
          <w:lang w:val="en-US" w:eastAsia="zh-CN"/>
        </w:rPr>
        <w:t>肆</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none"/>
          <w:lang w:val="en-US" w:eastAsia="zh-CN"/>
        </w:rPr>
        <w:t>贰</w:t>
      </w:r>
      <w:r>
        <w:rPr>
          <w:rFonts w:hint="eastAsia" w:ascii="宋体" w:hAnsi="宋体" w:eastAsia="宋体" w:cs="宋体"/>
          <w:sz w:val="24"/>
          <w:szCs w:val="24"/>
          <w:highlight w:val="none"/>
        </w:rPr>
        <w:t>份，乙方执贰份，具有同等法律效力。</w:t>
      </w:r>
    </w:p>
    <w:p w14:paraId="55D5A4F9">
      <w:pPr>
        <w:numPr>
          <w:ilvl w:val="0"/>
          <w:numId w:val="13"/>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服务合同一年一签，</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服务满意后，后续预算已落实且</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也愿意按原中标价续签的情况下，</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可选择与</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续签，总服务期不超过三年。</w:t>
      </w:r>
    </w:p>
    <w:p w14:paraId="0BE2D59F">
      <w:pPr>
        <w:numPr>
          <w:ilvl w:val="0"/>
          <w:numId w:val="13"/>
        </w:num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本协议最终解释权归乙方所有。</w:t>
      </w:r>
    </w:p>
    <w:tbl>
      <w:tblPr>
        <w:tblStyle w:val="5"/>
        <w:tblW w:w="87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9"/>
        <w:gridCol w:w="1111"/>
        <w:gridCol w:w="879"/>
        <w:gridCol w:w="1134"/>
        <w:gridCol w:w="283"/>
        <w:gridCol w:w="1236"/>
        <w:gridCol w:w="1134"/>
        <w:gridCol w:w="776"/>
        <w:gridCol w:w="1107"/>
      </w:tblGrid>
      <w:tr w14:paraId="4D3DD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4" w:hRule="exact"/>
          <w:jc w:val="center"/>
        </w:trPr>
        <w:tc>
          <w:tcPr>
            <w:tcW w:w="4253" w:type="dxa"/>
            <w:gridSpan w:val="4"/>
            <w:vAlign w:val="top"/>
          </w:tcPr>
          <w:p w14:paraId="04F3E237">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甲方（名称、公章/合同专用章）：</w:t>
            </w:r>
          </w:p>
        </w:tc>
        <w:tc>
          <w:tcPr>
            <w:tcW w:w="283" w:type="dxa"/>
            <w:vAlign w:val="top"/>
          </w:tcPr>
          <w:p w14:paraId="529CD5F9">
            <w:pPr>
              <w:spacing w:line="540" w:lineRule="exact"/>
              <w:rPr>
                <w:rFonts w:hint="eastAsia" w:ascii="宋体" w:hAnsi="宋体" w:eastAsia="宋体" w:cs="宋体"/>
                <w:sz w:val="24"/>
                <w:szCs w:val="24"/>
                <w:highlight w:val="none"/>
              </w:rPr>
            </w:pPr>
          </w:p>
        </w:tc>
        <w:tc>
          <w:tcPr>
            <w:tcW w:w="4253" w:type="dxa"/>
            <w:gridSpan w:val="4"/>
            <w:vAlign w:val="top"/>
          </w:tcPr>
          <w:p w14:paraId="6F466441">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乙方（名称、公章/合同专用章）：</w:t>
            </w:r>
          </w:p>
        </w:tc>
      </w:tr>
      <w:tr w14:paraId="14F63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4253" w:type="dxa"/>
            <w:gridSpan w:val="4"/>
            <w:vAlign w:val="top"/>
          </w:tcPr>
          <w:p w14:paraId="39A71EDA">
            <w:pPr>
              <w:spacing w:line="5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甲方单位名称</w:t>
            </w:r>
          </w:p>
        </w:tc>
        <w:tc>
          <w:tcPr>
            <w:tcW w:w="283" w:type="dxa"/>
            <w:vAlign w:val="top"/>
          </w:tcPr>
          <w:p w14:paraId="135503C4">
            <w:pPr>
              <w:spacing w:line="540" w:lineRule="exact"/>
              <w:rPr>
                <w:rFonts w:hint="eastAsia" w:ascii="宋体" w:hAnsi="宋体" w:eastAsia="宋体" w:cs="宋体"/>
                <w:sz w:val="24"/>
                <w:szCs w:val="24"/>
                <w:highlight w:val="none"/>
                <w:u w:val="single"/>
              </w:rPr>
            </w:pPr>
          </w:p>
        </w:tc>
        <w:tc>
          <w:tcPr>
            <w:tcW w:w="4253" w:type="dxa"/>
            <w:gridSpan w:val="4"/>
            <w:vAlign w:val="top"/>
          </w:tcPr>
          <w:p w14:paraId="6FD2DFE3">
            <w:pPr>
              <w:spacing w:line="540" w:lineRule="exac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教育部学位与研究生教育发展中心 </w:t>
            </w:r>
          </w:p>
        </w:tc>
      </w:tr>
      <w:tr w14:paraId="54D6F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4253" w:type="dxa"/>
            <w:gridSpan w:val="4"/>
            <w:vAlign w:val="top"/>
          </w:tcPr>
          <w:p w14:paraId="792C3407">
            <w:pPr>
              <w:spacing w:line="540" w:lineRule="exact"/>
              <w:rPr>
                <w:rFonts w:hint="eastAsia" w:ascii="宋体" w:hAnsi="宋体" w:eastAsia="宋体" w:cs="宋体"/>
                <w:sz w:val="24"/>
                <w:szCs w:val="24"/>
                <w:highlight w:val="none"/>
              </w:rPr>
            </w:pPr>
          </w:p>
        </w:tc>
        <w:tc>
          <w:tcPr>
            <w:tcW w:w="283" w:type="dxa"/>
            <w:vAlign w:val="top"/>
          </w:tcPr>
          <w:p w14:paraId="6B27E881">
            <w:pPr>
              <w:spacing w:line="540" w:lineRule="exact"/>
              <w:rPr>
                <w:rFonts w:hint="eastAsia" w:ascii="宋体" w:hAnsi="宋体" w:eastAsia="宋体" w:cs="宋体"/>
                <w:sz w:val="24"/>
                <w:szCs w:val="24"/>
                <w:highlight w:val="none"/>
              </w:rPr>
            </w:pPr>
          </w:p>
        </w:tc>
        <w:tc>
          <w:tcPr>
            <w:tcW w:w="4253" w:type="dxa"/>
            <w:gridSpan w:val="4"/>
            <w:vAlign w:val="top"/>
          </w:tcPr>
          <w:p w14:paraId="0F76EDD8">
            <w:pPr>
              <w:spacing w:line="540" w:lineRule="exact"/>
              <w:rPr>
                <w:rFonts w:hint="eastAsia" w:ascii="宋体" w:hAnsi="宋体" w:eastAsia="宋体" w:cs="宋体"/>
                <w:sz w:val="24"/>
                <w:szCs w:val="24"/>
                <w:highlight w:val="none"/>
              </w:rPr>
            </w:pPr>
          </w:p>
        </w:tc>
      </w:tr>
      <w:tr w14:paraId="30B4E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4253" w:type="dxa"/>
            <w:gridSpan w:val="4"/>
            <w:vAlign w:val="top"/>
          </w:tcPr>
          <w:p w14:paraId="722EB0E7">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甲方法定代表人或授权代表（签字/盖章）：  </w:t>
            </w:r>
          </w:p>
        </w:tc>
        <w:tc>
          <w:tcPr>
            <w:tcW w:w="283" w:type="dxa"/>
            <w:vAlign w:val="top"/>
          </w:tcPr>
          <w:p w14:paraId="10A7B349">
            <w:pPr>
              <w:spacing w:line="540" w:lineRule="exact"/>
              <w:rPr>
                <w:rFonts w:hint="eastAsia" w:ascii="宋体" w:hAnsi="宋体" w:eastAsia="宋体" w:cs="宋体"/>
                <w:sz w:val="24"/>
                <w:szCs w:val="24"/>
                <w:highlight w:val="none"/>
              </w:rPr>
            </w:pPr>
          </w:p>
        </w:tc>
        <w:tc>
          <w:tcPr>
            <w:tcW w:w="4253" w:type="dxa"/>
            <w:gridSpan w:val="4"/>
            <w:vAlign w:val="top"/>
          </w:tcPr>
          <w:p w14:paraId="52BBC16F">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乙方法定代表人或授权代表（签字/盖章）：</w:t>
            </w:r>
          </w:p>
          <w:p w14:paraId="1C085260">
            <w:pPr>
              <w:spacing w:line="540" w:lineRule="exact"/>
              <w:rPr>
                <w:rFonts w:hint="eastAsia" w:ascii="宋体" w:hAnsi="宋体" w:eastAsia="宋体" w:cs="宋体"/>
                <w:sz w:val="24"/>
                <w:szCs w:val="24"/>
                <w:highlight w:val="none"/>
              </w:rPr>
            </w:pPr>
          </w:p>
        </w:tc>
      </w:tr>
      <w:tr w14:paraId="49FF6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2" w:hRule="exact"/>
          <w:jc w:val="center"/>
        </w:trPr>
        <w:tc>
          <w:tcPr>
            <w:tcW w:w="4253" w:type="dxa"/>
            <w:gridSpan w:val="4"/>
            <w:vAlign w:val="top"/>
          </w:tcPr>
          <w:p w14:paraId="46CAC9F9">
            <w:pPr>
              <w:spacing w:line="540" w:lineRule="exact"/>
              <w:rPr>
                <w:rFonts w:hint="eastAsia" w:ascii="宋体" w:hAnsi="宋体" w:eastAsia="宋体" w:cs="宋体"/>
                <w:sz w:val="24"/>
                <w:szCs w:val="24"/>
                <w:highlight w:val="none"/>
              </w:rPr>
            </w:pPr>
          </w:p>
        </w:tc>
        <w:tc>
          <w:tcPr>
            <w:tcW w:w="283" w:type="dxa"/>
            <w:vAlign w:val="top"/>
          </w:tcPr>
          <w:p w14:paraId="71FB748F">
            <w:pPr>
              <w:spacing w:line="540" w:lineRule="exact"/>
              <w:rPr>
                <w:rFonts w:hint="eastAsia" w:ascii="宋体" w:hAnsi="宋体" w:eastAsia="宋体" w:cs="宋体"/>
                <w:sz w:val="24"/>
                <w:szCs w:val="24"/>
                <w:highlight w:val="none"/>
              </w:rPr>
            </w:pPr>
          </w:p>
        </w:tc>
        <w:tc>
          <w:tcPr>
            <w:tcW w:w="4253" w:type="dxa"/>
            <w:gridSpan w:val="4"/>
            <w:vAlign w:val="top"/>
          </w:tcPr>
          <w:p w14:paraId="6D64E94D">
            <w:pPr>
              <w:spacing w:line="540" w:lineRule="exact"/>
              <w:rPr>
                <w:rFonts w:hint="eastAsia" w:ascii="宋体" w:hAnsi="宋体" w:eastAsia="宋体" w:cs="宋体"/>
                <w:sz w:val="24"/>
                <w:szCs w:val="24"/>
                <w:highlight w:val="none"/>
              </w:rPr>
            </w:pPr>
          </w:p>
          <w:p w14:paraId="13324064">
            <w:pPr>
              <w:spacing w:line="540" w:lineRule="exact"/>
              <w:rPr>
                <w:rFonts w:hint="eastAsia" w:ascii="宋体" w:hAnsi="宋体" w:eastAsia="宋体" w:cs="宋体"/>
                <w:sz w:val="24"/>
                <w:szCs w:val="24"/>
                <w:highlight w:val="none"/>
              </w:rPr>
            </w:pPr>
          </w:p>
          <w:p w14:paraId="1A483BED">
            <w:pPr>
              <w:spacing w:line="540" w:lineRule="exact"/>
              <w:rPr>
                <w:rFonts w:hint="eastAsia" w:ascii="宋体" w:hAnsi="宋体" w:eastAsia="宋体" w:cs="宋体"/>
                <w:sz w:val="24"/>
                <w:szCs w:val="24"/>
                <w:highlight w:val="none"/>
              </w:rPr>
            </w:pPr>
          </w:p>
        </w:tc>
      </w:tr>
      <w:tr w14:paraId="3254C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129" w:type="dxa"/>
            <w:vAlign w:val="top"/>
          </w:tcPr>
          <w:p w14:paraId="4CDF477F">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w:t>
            </w:r>
          </w:p>
        </w:tc>
        <w:tc>
          <w:tcPr>
            <w:tcW w:w="1111" w:type="dxa"/>
            <w:vAlign w:val="top"/>
          </w:tcPr>
          <w:p w14:paraId="7AB1BE7E">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2025</w:t>
            </w:r>
            <w:r>
              <w:rPr>
                <w:rFonts w:hint="eastAsia" w:ascii="宋体" w:hAnsi="宋体" w:eastAsia="宋体" w:cs="宋体"/>
                <w:sz w:val="24"/>
                <w:szCs w:val="24"/>
                <w:highlight w:val="none"/>
              </w:rPr>
              <w:t>年</w:t>
            </w:r>
          </w:p>
        </w:tc>
        <w:tc>
          <w:tcPr>
            <w:tcW w:w="879" w:type="dxa"/>
            <w:vAlign w:val="top"/>
          </w:tcPr>
          <w:p w14:paraId="125BB916">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月</w:t>
            </w:r>
          </w:p>
        </w:tc>
        <w:tc>
          <w:tcPr>
            <w:tcW w:w="1134" w:type="dxa"/>
            <w:vAlign w:val="top"/>
          </w:tcPr>
          <w:p w14:paraId="11A9614B">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日</w:t>
            </w:r>
          </w:p>
        </w:tc>
        <w:tc>
          <w:tcPr>
            <w:tcW w:w="283" w:type="dxa"/>
            <w:vAlign w:val="top"/>
          </w:tcPr>
          <w:p w14:paraId="3FDF9B84">
            <w:pPr>
              <w:spacing w:line="540" w:lineRule="exact"/>
              <w:rPr>
                <w:rFonts w:hint="eastAsia" w:ascii="宋体" w:hAnsi="宋体" w:eastAsia="宋体" w:cs="宋体"/>
                <w:sz w:val="24"/>
                <w:szCs w:val="24"/>
                <w:highlight w:val="none"/>
              </w:rPr>
            </w:pPr>
          </w:p>
        </w:tc>
        <w:tc>
          <w:tcPr>
            <w:tcW w:w="1236" w:type="dxa"/>
            <w:vAlign w:val="top"/>
          </w:tcPr>
          <w:p w14:paraId="31D103AB">
            <w:pPr>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w:t>
            </w:r>
          </w:p>
        </w:tc>
        <w:tc>
          <w:tcPr>
            <w:tcW w:w="1134" w:type="dxa"/>
            <w:vAlign w:val="top"/>
          </w:tcPr>
          <w:p w14:paraId="3BF5F066">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2025</w:t>
            </w:r>
            <w:r>
              <w:rPr>
                <w:rFonts w:hint="eastAsia" w:ascii="宋体" w:hAnsi="宋体" w:eastAsia="宋体" w:cs="宋体"/>
                <w:sz w:val="24"/>
                <w:szCs w:val="24"/>
                <w:highlight w:val="none"/>
              </w:rPr>
              <w:t>年</w:t>
            </w:r>
          </w:p>
        </w:tc>
        <w:tc>
          <w:tcPr>
            <w:tcW w:w="776" w:type="dxa"/>
            <w:vAlign w:val="top"/>
          </w:tcPr>
          <w:p w14:paraId="261A25AA">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月</w:t>
            </w:r>
          </w:p>
        </w:tc>
        <w:tc>
          <w:tcPr>
            <w:tcW w:w="1107" w:type="dxa"/>
            <w:vAlign w:val="top"/>
          </w:tcPr>
          <w:p w14:paraId="74B2077C">
            <w:pPr>
              <w:spacing w:line="5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日</w:t>
            </w:r>
          </w:p>
        </w:tc>
      </w:tr>
    </w:tbl>
    <w:p w14:paraId="48081EDE">
      <w:pPr>
        <w:numPr>
          <w:ilvl w:val="255"/>
          <w:numId w:val="0"/>
        </w:numPr>
        <w:spacing w:line="540" w:lineRule="exact"/>
        <w:rPr>
          <w:rFonts w:hint="eastAsia" w:ascii="宋体" w:hAnsi="宋体" w:eastAsia="宋体" w:cs="宋体"/>
          <w:sz w:val="24"/>
          <w:szCs w:val="24"/>
          <w:highlight w:val="none"/>
        </w:rPr>
      </w:pPr>
    </w:p>
    <w:p w14:paraId="54107287">
      <w:pPr>
        <w:pStyle w:val="3"/>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sz w:val="24"/>
          <w:szCs w:val="24"/>
          <w:highlight w:val="none"/>
          <w:lang w:val="en-US" w:eastAsia="zh-CN"/>
        </w:rPr>
        <w:t>协议附件，</w:t>
      </w:r>
      <w:r>
        <w:rPr>
          <w:rFonts w:hint="eastAsia" w:ascii="宋体" w:hAnsi="宋体" w:eastAsia="宋体" w:cs="宋体"/>
          <w:color w:val="auto"/>
          <w:sz w:val="24"/>
          <w:szCs w:val="24"/>
          <w:highlight w:val="none"/>
          <w:lang w:val="en-US" w:eastAsia="zh-CN"/>
        </w:rPr>
        <w:t>续签条件</w:t>
      </w:r>
    </w:p>
    <w:p w14:paraId="79B77AA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在合同期满前，学校对教育部学位论文送审平台的评审质量、评审效率和服务质量进行评估，在满足以下条件基础上，可续签合同，但累计合同履行期限不超过3年： </w:t>
      </w:r>
    </w:p>
    <w:p w14:paraId="6FB4B3E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①．送审单价不变； </w:t>
      </w:r>
    </w:p>
    <w:p w14:paraId="4AA88F2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②．按时高效完成博硕论文评审，无严重超期情况； </w:t>
      </w:r>
    </w:p>
    <w:p w14:paraId="05AF893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③．及时处理评审异议论文，并设立负面专家清单； </w:t>
      </w:r>
    </w:p>
    <w:p w14:paraId="242F6EE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④．提供年度学位论文评议情况统计报告及学位论文质量监测工作建议； </w:t>
      </w:r>
    </w:p>
    <w:p w14:paraId="6549531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⑤．每年对校级管理员和院级管理员至少进行一次平台操作培训，并提供和更新平台操作规程。</w:t>
      </w:r>
    </w:p>
    <w:p w14:paraId="009785C8">
      <w:pPr>
        <w:pStyle w:val="3"/>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lang w:val="en-US" w:eastAsia="zh-CN"/>
        </w:rPr>
      </w:pPr>
    </w:p>
    <w:p w14:paraId="60D3632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FF"/>
          <w:sz w:val="24"/>
          <w:szCs w:val="24"/>
          <w:highlight w:val="none"/>
        </w:rPr>
      </w:pPr>
    </w:p>
    <w:p w14:paraId="2AD914A8">
      <w:pPr>
        <w:pStyle w:val="7"/>
        <w:rPr>
          <w:rFonts w:hint="eastAsia"/>
          <w:highlight w:val="none"/>
          <w:lang w:val="en-US" w:eastAsia="zh-Hans"/>
        </w:rPr>
      </w:pPr>
    </w:p>
    <w:p w14:paraId="1BD2B490">
      <w:pPr>
        <w:rPr>
          <w:highlight w:val="none"/>
        </w:rPr>
      </w:pPr>
    </w:p>
    <w:p w14:paraId="423ACEC5">
      <w:pPr>
        <w:pStyle w:val="7"/>
        <w:rPr>
          <w:rFonts w:hint="eastAsia"/>
          <w:highlight w:val="none"/>
          <w:lang w:val="en-US" w:eastAsia="zh-Hans"/>
        </w:rPr>
      </w:pPr>
    </w:p>
    <w:p w14:paraId="0F415D57">
      <w:bookmarkStart w:id="1" w:name="_GoBack"/>
      <w:bookmarkEnd w:id="1"/>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03584"/>
    <w:multiLevelType w:val="singleLevel"/>
    <w:tmpl w:val="AA703584"/>
    <w:lvl w:ilvl="0" w:tentative="0">
      <w:start w:val="1"/>
      <w:numFmt w:val="chineseCounting"/>
      <w:suff w:val="nothing"/>
      <w:lvlText w:val="（%1）"/>
      <w:lvlJc w:val="left"/>
      <w:rPr>
        <w:rFonts w:hint="eastAsia"/>
      </w:rPr>
    </w:lvl>
  </w:abstractNum>
  <w:abstractNum w:abstractNumId="1">
    <w:nsid w:val="C0DBED7D"/>
    <w:multiLevelType w:val="singleLevel"/>
    <w:tmpl w:val="C0DBED7D"/>
    <w:lvl w:ilvl="0" w:tentative="0">
      <w:start w:val="1"/>
      <w:numFmt w:val="chineseCounting"/>
      <w:suff w:val="nothing"/>
      <w:lvlText w:val="（%1）"/>
      <w:lvlJc w:val="left"/>
      <w:pPr>
        <w:ind w:left="0" w:firstLine="420"/>
      </w:pPr>
      <w:rPr>
        <w:rFonts w:hint="eastAsia"/>
      </w:rPr>
    </w:lvl>
  </w:abstractNum>
  <w:abstractNum w:abstractNumId="2">
    <w:nsid w:val="DB7B02B1"/>
    <w:multiLevelType w:val="singleLevel"/>
    <w:tmpl w:val="DB7B02B1"/>
    <w:lvl w:ilvl="0" w:tentative="0">
      <w:start w:val="1"/>
      <w:numFmt w:val="chineseCounting"/>
      <w:suff w:val="nothing"/>
      <w:lvlText w:val="（%1）"/>
      <w:lvlJc w:val="left"/>
      <w:pPr>
        <w:ind w:left="0" w:firstLine="420"/>
      </w:pPr>
      <w:rPr>
        <w:rFonts w:hint="eastAsia"/>
      </w:rPr>
    </w:lvl>
  </w:abstractNum>
  <w:abstractNum w:abstractNumId="3">
    <w:nsid w:val="E53AE426"/>
    <w:multiLevelType w:val="singleLevel"/>
    <w:tmpl w:val="E53AE426"/>
    <w:lvl w:ilvl="0" w:tentative="0">
      <w:start w:val="1"/>
      <w:numFmt w:val="chineseCounting"/>
      <w:suff w:val="nothing"/>
      <w:lvlText w:val="（%1）"/>
      <w:lvlJc w:val="left"/>
      <w:pPr>
        <w:ind w:left="-210" w:firstLine="420"/>
      </w:pPr>
      <w:rPr>
        <w:rFonts w:hint="eastAsia"/>
      </w:rPr>
    </w:lvl>
  </w:abstractNum>
  <w:abstractNum w:abstractNumId="4">
    <w:nsid w:val="EBC3FBBF"/>
    <w:multiLevelType w:val="singleLevel"/>
    <w:tmpl w:val="EBC3FBBF"/>
    <w:lvl w:ilvl="0" w:tentative="0">
      <w:start w:val="1"/>
      <w:numFmt w:val="chineseCounting"/>
      <w:suff w:val="nothing"/>
      <w:lvlText w:val="（%1）"/>
      <w:lvlJc w:val="left"/>
      <w:pPr>
        <w:ind w:left="0" w:firstLine="420"/>
      </w:pPr>
      <w:rPr>
        <w:rFonts w:hint="eastAsia"/>
      </w:rPr>
    </w:lvl>
  </w:abstractNum>
  <w:abstractNum w:abstractNumId="5">
    <w:nsid w:val="F181BAFF"/>
    <w:multiLevelType w:val="singleLevel"/>
    <w:tmpl w:val="F181BAFF"/>
    <w:lvl w:ilvl="0" w:tentative="0">
      <w:start w:val="1"/>
      <w:numFmt w:val="decimal"/>
      <w:lvlText w:val="%1."/>
      <w:lvlJc w:val="left"/>
      <w:pPr>
        <w:tabs>
          <w:tab w:val="left" w:pos="312"/>
        </w:tabs>
      </w:pPr>
    </w:lvl>
  </w:abstractNum>
  <w:abstractNum w:abstractNumId="6">
    <w:nsid w:val="F7648288"/>
    <w:multiLevelType w:val="singleLevel"/>
    <w:tmpl w:val="F7648288"/>
    <w:lvl w:ilvl="0" w:tentative="0">
      <w:start w:val="1"/>
      <w:numFmt w:val="chineseCounting"/>
      <w:suff w:val="nothing"/>
      <w:lvlText w:val="（%1）"/>
      <w:lvlJc w:val="left"/>
      <w:rPr>
        <w:rFonts w:hint="eastAsia"/>
      </w:rPr>
    </w:lvl>
  </w:abstractNum>
  <w:abstractNum w:abstractNumId="7">
    <w:nsid w:val="0C771DDB"/>
    <w:multiLevelType w:val="singleLevel"/>
    <w:tmpl w:val="0C771DDB"/>
    <w:lvl w:ilvl="0" w:tentative="0">
      <w:start w:val="2"/>
      <w:numFmt w:val="chineseCounting"/>
      <w:suff w:val="space"/>
      <w:lvlText w:val="第%1条"/>
      <w:lvlJc w:val="left"/>
      <w:rPr>
        <w:rFonts w:hint="eastAsia"/>
      </w:rPr>
    </w:lvl>
  </w:abstractNum>
  <w:abstractNum w:abstractNumId="8">
    <w:nsid w:val="0FA23393"/>
    <w:multiLevelType w:val="singleLevel"/>
    <w:tmpl w:val="0FA23393"/>
    <w:lvl w:ilvl="0" w:tentative="0">
      <w:start w:val="1"/>
      <w:numFmt w:val="decimal"/>
      <w:lvlText w:val="%1."/>
      <w:lvlJc w:val="left"/>
      <w:pPr>
        <w:tabs>
          <w:tab w:val="left" w:pos="312"/>
        </w:tabs>
      </w:pPr>
    </w:lvl>
  </w:abstractNum>
  <w:abstractNum w:abstractNumId="9">
    <w:nsid w:val="2B8E75AB"/>
    <w:multiLevelType w:val="singleLevel"/>
    <w:tmpl w:val="2B8E75AB"/>
    <w:lvl w:ilvl="0" w:tentative="0">
      <w:start w:val="1"/>
      <w:numFmt w:val="chineseCounting"/>
      <w:suff w:val="nothing"/>
      <w:lvlText w:val="（%1）"/>
      <w:lvlJc w:val="left"/>
      <w:rPr>
        <w:rFonts w:hint="eastAsia"/>
      </w:rPr>
    </w:lvl>
  </w:abstractNum>
  <w:abstractNum w:abstractNumId="10">
    <w:nsid w:val="3BEF8355"/>
    <w:multiLevelType w:val="singleLevel"/>
    <w:tmpl w:val="3BEF8355"/>
    <w:lvl w:ilvl="0" w:tentative="0">
      <w:start w:val="1"/>
      <w:numFmt w:val="chineseCounting"/>
      <w:suff w:val="nothing"/>
      <w:lvlText w:val="（%1）"/>
      <w:lvlJc w:val="left"/>
      <w:pPr>
        <w:ind w:left="0" w:firstLine="420"/>
      </w:pPr>
      <w:rPr>
        <w:rFonts w:hint="eastAsia"/>
      </w:rPr>
    </w:lvl>
  </w:abstractNum>
  <w:abstractNum w:abstractNumId="11">
    <w:nsid w:val="5440B15D"/>
    <w:multiLevelType w:val="singleLevel"/>
    <w:tmpl w:val="5440B15D"/>
    <w:lvl w:ilvl="0" w:tentative="0">
      <w:start w:val="1"/>
      <w:numFmt w:val="chineseCounting"/>
      <w:suff w:val="nothing"/>
      <w:lvlText w:val="（%1）"/>
      <w:lvlJc w:val="left"/>
      <w:pPr>
        <w:ind w:left="0" w:firstLine="420"/>
      </w:pPr>
      <w:rPr>
        <w:rFonts w:hint="eastAsia"/>
      </w:rPr>
    </w:lvl>
  </w:abstractNum>
  <w:abstractNum w:abstractNumId="12">
    <w:nsid w:val="73B16C72"/>
    <w:multiLevelType w:val="singleLevel"/>
    <w:tmpl w:val="73B16C72"/>
    <w:lvl w:ilvl="0" w:tentative="0">
      <w:start w:val="1"/>
      <w:numFmt w:val="decimal"/>
      <w:lvlText w:val="%1."/>
      <w:lvlJc w:val="left"/>
      <w:pPr>
        <w:tabs>
          <w:tab w:val="left" w:pos="312"/>
        </w:tabs>
      </w:pPr>
    </w:lvl>
  </w:abstractNum>
  <w:num w:numId="1">
    <w:abstractNumId w:val="7"/>
  </w:num>
  <w:num w:numId="2">
    <w:abstractNumId w:val="1"/>
  </w:num>
  <w:num w:numId="3">
    <w:abstractNumId w:val="8"/>
  </w:num>
  <w:num w:numId="4">
    <w:abstractNumId w:val="2"/>
  </w:num>
  <w:num w:numId="5">
    <w:abstractNumId w:val="0"/>
  </w:num>
  <w:num w:numId="6">
    <w:abstractNumId w:val="5"/>
  </w:num>
  <w:num w:numId="7">
    <w:abstractNumId w:val="3"/>
  </w:num>
  <w:num w:numId="8">
    <w:abstractNumId w:val="6"/>
  </w:num>
  <w:num w:numId="9">
    <w:abstractNumId w:val="11"/>
  </w:num>
  <w:num w:numId="10">
    <w:abstractNumId w:val="12"/>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E53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3">
    <w:name w:val="Plain Text"/>
    <w:basedOn w:val="1"/>
    <w:qFormat/>
    <w:uiPriority w:val="0"/>
    <w:rPr>
      <w:rFonts w:ascii="宋体" w:hAnsi="Courier New" w:eastAsiaTheme="minorEastAsia" w:cstheme="minorBidi"/>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2025-05-16T07:06:04Z</dcterms:created>
  <dc:creator>dell</dc:creator>
  <cp:lastModifiedBy>开瑞【代理机构】</cp:lastModifiedBy>
  <dcterms:modified xsi:type="dcterms:W3CDTF">2025-05-16T07:06:13Z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2AA324367AE2487F834F70DCD9632D19_12</vt:lpwstr>
  </property>
</Properties>
</file>