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版本号：KY2025-1-339.20250515001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2025年度全省林权、农村土地承包经营权数据省级入库与农村房地一体宅基地汇交质检、国家级抽样检查（44）项目（采购包1）(二次)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KY2025-1-339.</w:t>
      </w:r>
      <w:r>
        <w:br/>
      </w:r>
      <w:r>
        <w:br/>
      </w:r>
      <w:r>
        <w:br/>
      </w:r>
    </w:p>
    <w:p>
      <w:pPr>
        <w:pStyle w:val="null3"/>
        <w:jc w:val="center"/>
        <w:outlineLvl w:val="2"/>
      </w:pPr>
      <w:r>
        <w:rPr>
          <w:rFonts w:ascii="仿宋_GB2312" w:hAnsi="仿宋_GB2312" w:cs="仿宋_GB2312" w:eastAsia="仿宋_GB2312"/>
          <w:sz w:val="28"/>
          <w:b/>
        </w:rPr>
        <w:t>陕西省不动产登记服务中心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陕西省不动产登记服务中心</w:t>
      </w:r>
      <w:r>
        <w:rPr>
          <w:rFonts w:ascii="仿宋_GB2312" w:hAnsi="仿宋_GB2312" w:cs="仿宋_GB2312" w:eastAsia="仿宋_GB2312"/>
        </w:rPr>
        <w:t>委托，拟对</w:t>
      </w:r>
      <w:r>
        <w:rPr>
          <w:rFonts w:ascii="仿宋_GB2312" w:hAnsi="仿宋_GB2312" w:cs="仿宋_GB2312" w:eastAsia="仿宋_GB2312"/>
        </w:rPr>
        <w:t>2025年度全省林权、农村土地承包经营权数据省级入库与农村房地一体宅基地汇交质检、国家级抽样检查（44）项目（采购包1）(二次)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2025年度全省林权、农村土地承包经营权数据省级入库与农村房地一体宅基地汇交质检、国家级抽样检查（44）项目（采购包1）(二次)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全省林权、农村土地承包经营权数据省级入库与农村房地一体宅基地汇交质检、国家级抽样检查（44）项目（采购包1：2025年度全省林权、农村土地承包经营权数据省级入库），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5、书面声明1：提供参加本次政府采购活动前三年内在经营活动中没有重大违法记录的书面声明。</w:t>
      </w:r>
    </w:p>
    <w:p>
      <w:pPr>
        <w:pStyle w:val="null3"/>
      </w:pPr>
      <w:r>
        <w:rPr>
          <w:rFonts w:ascii="仿宋_GB2312" w:hAnsi="仿宋_GB2312" w:cs="仿宋_GB2312" w:eastAsia="仿宋_GB2312"/>
        </w:rPr>
        <w:t>6、书面声明2：提供未被列入失信被执行人、重大税收违法失信主体、政府采购严重违法失信行为记录名单的书面声明。</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8、法定代表人授权书：法定代表人授权书及被授权人身份证明。（法定代表人直接磋商只须提交其身份证明）</w:t>
      </w:r>
    </w:p>
    <w:p>
      <w:pPr>
        <w:pStyle w:val="null3"/>
      </w:pPr>
      <w:r>
        <w:rPr>
          <w:rFonts w:ascii="仿宋_GB2312" w:hAnsi="仿宋_GB2312" w:cs="仿宋_GB2312" w:eastAsia="仿宋_GB2312"/>
        </w:rPr>
        <w:t>9、特定资质：具备测绘甲级资质证书。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029-89197271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各包成交金额向采购代理机构交纳成交服务费，交费金额参照国家计委颁布的《招标代理服务收费管理暂行办法》（计价格[2002]1980号）及发改办价格[2003]857号文件的规定标准执行。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陕西省不动产登记服务中心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1.项目验收由采购人或其委托的专家或第三方机构对项目进行验收，验收时，成交人应无条件予以配合并提供所需的全部资料； 2.验收依据：磋商文件、响应文件、合同文本、国内相应的标准、规范。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全省林权、农村土地承包经营权数据省级入库与农村房地一体宅基地汇交质检、国家级抽样检查（44）项目（采购包1：2025年度全省林权、农村土地承包经营权数据省级入库），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2025年度全省林权、农村土地承包经营权数据省级入库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标的名称：2025年度全省林权、农村土地承包经营权数据省级入库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1"/>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为贯彻落实《关于做好不动产统一登记与土地承包合同管理工作有序衔接的通知》（自然资发〔2022〕157号）和《关于强化业务协同加快推进林权登记资料移交数据整合和信息共享的通知》（自然资办发〔2023〕2号）等文件要求，全面夯实不动产数据基础，完成现势登记数据整合汇交、开展历史登记数据整合汇交，根据省级不动产登记信息管理基础平台运行情况，林权、农村土地承包经营权数据的缺失给各项工作带来的问题也逐步凸显，为保证国家、省、市、县四级数据的一致性以及数据的完整性，开展陕西省级不动产登记数据整合入库工作，是极其重要也是极为关键一环。</w:t>
            </w:r>
          </w:p>
          <w:p>
            <w:pPr>
              <w:pStyle w:val="null3"/>
              <w:outlineLvl w:val="1"/>
            </w:pPr>
            <w:r>
              <w:rPr>
                <w:rFonts w:ascii="仿宋_GB2312" w:hAnsi="仿宋_GB2312" w:cs="仿宋_GB2312" w:eastAsia="仿宋_GB2312"/>
                <w:sz w:val="24"/>
                <w:b/>
              </w:rPr>
              <w:t>二、建设目标</w:t>
            </w:r>
          </w:p>
          <w:p>
            <w:pPr>
              <w:pStyle w:val="null3"/>
              <w:ind w:firstLine="480"/>
              <w:jc w:val="both"/>
            </w:pPr>
            <w:r>
              <w:rPr>
                <w:rFonts w:ascii="仿宋_GB2312" w:hAnsi="仿宋_GB2312" w:cs="仿宋_GB2312" w:eastAsia="仿宋_GB2312"/>
                <w:sz w:val="24"/>
              </w:rPr>
              <w:t>根据部、省相关要求，在不动产登记数据库标准、数据整合建库技术规范的指导下，基于省级不动产登记数据库，完成全省林权、农村土地承包经营权数据省级入库；通过省级数据整合入库，以点带面，提升全省不动产登记成果数据一致性、及时性和完整性；利用全省数据整合入库成果，开展全省不动产登记数据分析应用。</w:t>
            </w:r>
          </w:p>
          <w:p>
            <w:pPr>
              <w:pStyle w:val="null3"/>
              <w:outlineLvl w:val="1"/>
            </w:pPr>
            <w:r>
              <w:rPr>
                <w:rFonts w:ascii="仿宋_GB2312" w:hAnsi="仿宋_GB2312" w:cs="仿宋_GB2312" w:eastAsia="仿宋_GB2312"/>
                <w:sz w:val="24"/>
                <w:b/>
              </w:rPr>
              <w:t>三、规范依据</w:t>
            </w:r>
          </w:p>
          <w:p>
            <w:pPr>
              <w:pStyle w:val="null3"/>
              <w:ind w:left="30"/>
              <w:jc w:val="both"/>
            </w:pPr>
            <w:r>
              <w:rPr>
                <w:rFonts w:ascii="仿宋_GB2312" w:hAnsi="仿宋_GB2312" w:cs="仿宋_GB2312" w:eastAsia="仿宋_GB2312"/>
                <w:sz w:val="24"/>
              </w:rPr>
              <w:t>1</w:t>
            </w:r>
            <w:r>
              <w:rPr>
                <w:rFonts w:ascii="仿宋_GB2312" w:hAnsi="仿宋_GB2312" w:cs="仿宋_GB2312" w:eastAsia="仿宋_GB2312"/>
                <w:sz w:val="24"/>
              </w:rPr>
              <w:t>、《不动产单元设定与代码编制规则》（GB/T 37346-2019）</w:t>
            </w:r>
          </w:p>
          <w:p>
            <w:pPr>
              <w:pStyle w:val="null3"/>
              <w:ind w:left="30"/>
              <w:jc w:val="both"/>
            </w:pPr>
            <w:r>
              <w:rPr>
                <w:rFonts w:ascii="仿宋_GB2312" w:hAnsi="仿宋_GB2312" w:cs="仿宋_GB2312" w:eastAsia="仿宋_GB2312"/>
                <w:sz w:val="24"/>
              </w:rPr>
              <w:t>2</w:t>
            </w:r>
            <w:r>
              <w:rPr>
                <w:rFonts w:ascii="仿宋_GB2312" w:hAnsi="仿宋_GB2312" w:cs="仿宋_GB2312" w:eastAsia="仿宋_GB2312"/>
                <w:sz w:val="24"/>
              </w:rPr>
              <w:t>、《不动产登记数据库标准》（TD/T 1066-2021）</w:t>
            </w:r>
          </w:p>
          <w:p>
            <w:pPr>
              <w:pStyle w:val="null3"/>
              <w:ind w:left="30"/>
              <w:jc w:val="both"/>
            </w:pPr>
            <w:r>
              <w:rPr>
                <w:rFonts w:ascii="仿宋_GB2312" w:hAnsi="仿宋_GB2312" w:cs="仿宋_GB2312" w:eastAsia="仿宋_GB2312"/>
                <w:sz w:val="24"/>
              </w:rPr>
              <w:t>3</w:t>
            </w:r>
            <w:r>
              <w:rPr>
                <w:rFonts w:ascii="仿宋_GB2312" w:hAnsi="仿宋_GB2312" w:cs="仿宋_GB2312" w:eastAsia="仿宋_GB2312"/>
                <w:sz w:val="24"/>
              </w:rPr>
              <w:t>、《自然资源部办公厅关于做好农村土地承包经营权登记成果资料接收工作的通知》（自然资办发〔2020〕20号）</w:t>
            </w:r>
          </w:p>
          <w:p>
            <w:pPr>
              <w:pStyle w:val="null3"/>
              <w:ind w:left="30"/>
              <w:jc w:val="both"/>
            </w:pPr>
            <w:r>
              <w:rPr>
                <w:rFonts w:ascii="仿宋_GB2312" w:hAnsi="仿宋_GB2312" w:cs="仿宋_GB2312" w:eastAsia="仿宋_GB2312"/>
                <w:sz w:val="24"/>
              </w:rPr>
              <w:t>4</w:t>
            </w:r>
            <w:r>
              <w:rPr>
                <w:rFonts w:ascii="仿宋_GB2312" w:hAnsi="仿宋_GB2312" w:cs="仿宋_GB2312" w:eastAsia="仿宋_GB2312"/>
                <w:sz w:val="24"/>
              </w:rPr>
              <w:t>、《关于进一步规范林权类不动产登记做好林权登记与林业管理衔接的通知》（自然资办发〔2020〕31号）</w:t>
            </w:r>
          </w:p>
          <w:p>
            <w:pPr>
              <w:pStyle w:val="null3"/>
              <w:ind w:left="30"/>
              <w:jc w:val="both"/>
            </w:pPr>
            <w:r>
              <w:rPr>
                <w:rFonts w:ascii="仿宋_GB2312" w:hAnsi="仿宋_GB2312" w:cs="仿宋_GB2312" w:eastAsia="仿宋_GB2312"/>
                <w:sz w:val="24"/>
              </w:rPr>
              <w:t>5</w:t>
            </w:r>
            <w:r>
              <w:rPr>
                <w:rFonts w:ascii="仿宋_GB2312" w:hAnsi="仿宋_GB2312" w:cs="仿宋_GB2312" w:eastAsia="仿宋_GB2312"/>
                <w:sz w:val="24"/>
              </w:rPr>
              <w:t>、《自然资源部 农业农村部关于做好不动产统一登记与土地承包合同管理工作有序衔接的通知》（自然资发〔2022〕157号)</w:t>
            </w:r>
          </w:p>
          <w:p>
            <w:pPr>
              <w:pStyle w:val="null3"/>
              <w:ind w:left="30"/>
              <w:jc w:val="both"/>
            </w:pPr>
            <w:r>
              <w:rPr>
                <w:rFonts w:ascii="仿宋_GB2312" w:hAnsi="仿宋_GB2312" w:cs="仿宋_GB2312" w:eastAsia="仿宋_GB2312"/>
                <w:sz w:val="24"/>
              </w:rPr>
              <w:t>6</w:t>
            </w:r>
            <w:r>
              <w:rPr>
                <w:rFonts w:ascii="仿宋_GB2312" w:hAnsi="仿宋_GB2312" w:cs="仿宋_GB2312" w:eastAsia="仿宋_GB2312"/>
                <w:sz w:val="24"/>
              </w:rPr>
              <w:t>、《自然资源部关于发布《地籍数据库 第1部分：不动产 》等6项行业标准的公告》</w:t>
            </w:r>
          </w:p>
          <w:p>
            <w:pPr>
              <w:pStyle w:val="null3"/>
              <w:ind w:left="30"/>
              <w:jc w:val="both"/>
            </w:pPr>
            <w:r>
              <w:rPr>
                <w:rFonts w:ascii="仿宋_GB2312" w:hAnsi="仿宋_GB2312" w:cs="仿宋_GB2312" w:eastAsia="仿宋_GB2312"/>
                <w:sz w:val="24"/>
              </w:rPr>
              <w:t>7</w:t>
            </w:r>
            <w:r>
              <w:rPr>
                <w:rFonts w:ascii="仿宋_GB2312" w:hAnsi="仿宋_GB2312" w:cs="仿宋_GB2312" w:eastAsia="仿宋_GB2312"/>
                <w:sz w:val="24"/>
              </w:rPr>
              <w:t>、《自然资源部关于持续推进农村房地一体宅基地确权登记颁证工作的通知》(自然资发〔2023〕109号)</w:t>
            </w:r>
          </w:p>
          <w:p>
            <w:pPr>
              <w:pStyle w:val="null3"/>
              <w:outlineLvl w:val="1"/>
            </w:pPr>
            <w:r>
              <w:rPr>
                <w:rFonts w:ascii="仿宋_GB2312" w:hAnsi="仿宋_GB2312" w:cs="仿宋_GB2312" w:eastAsia="仿宋_GB2312"/>
                <w:sz w:val="24"/>
                <w:b/>
              </w:rPr>
              <w:t>四、主要内容及要求</w:t>
            </w:r>
          </w:p>
          <w:p>
            <w:pPr>
              <w:pStyle w:val="null3"/>
              <w:ind w:firstLine="480"/>
              <w:jc w:val="both"/>
            </w:pPr>
            <w:r>
              <w:rPr>
                <w:rFonts w:ascii="仿宋_GB2312" w:hAnsi="仿宋_GB2312" w:cs="仿宋_GB2312" w:eastAsia="仿宋_GB2312"/>
                <w:sz w:val="24"/>
              </w:rPr>
              <w:t>全面清理和整理县（市、区）汇交的农村土地承包经营权、林权数据成果，遵循统一的数据库标准，在数据整合建库技术规范的指导下，对我省林权、农村土地承包经营权数据进行整合入库，建立省、市、县上下一致的不动产登记数据库。对增量的不动产登记成果数据则通过数据的日常上报接入保持数据库的现势性。</w:t>
            </w:r>
          </w:p>
          <w:p>
            <w:pPr>
              <w:pStyle w:val="null3"/>
              <w:ind w:firstLine="480"/>
              <w:jc w:val="both"/>
            </w:pPr>
            <w:r>
              <w:rPr>
                <w:rFonts w:ascii="仿宋_GB2312" w:hAnsi="仿宋_GB2312" w:cs="仿宋_GB2312" w:eastAsia="仿宋_GB2312"/>
                <w:sz w:val="24"/>
              </w:rPr>
              <w:t>数据入库遵循《不动产登记信息管理基础平台建设技术方案》《不动产登记数据库标准》和《不动产登记存量数据汇交规范》等制度和标准规范。按照设定的技术流程规范有序开展数据接收、检查、集成、入库，进一步完善省级不动产登记数据库。</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、数据接收</w:t>
            </w:r>
          </w:p>
          <w:p>
            <w:pPr>
              <w:pStyle w:val="null3"/>
              <w:ind w:firstLine="480"/>
              <w:jc w:val="both"/>
            </w:pPr>
            <w:r>
              <w:rPr>
                <w:rFonts w:ascii="仿宋_GB2312" w:hAnsi="仿宋_GB2312" w:cs="仿宋_GB2312" w:eastAsia="仿宋_GB2312"/>
                <w:sz w:val="24"/>
              </w:rPr>
              <w:t>接收符合《不动产登记数据存量成果汇交规范》并质检通过的林权、农村土地承包经营权数据。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、数据质检</w:t>
            </w:r>
          </w:p>
          <w:p>
            <w:pPr>
              <w:pStyle w:val="null3"/>
              <w:ind w:firstLine="480"/>
              <w:jc w:val="both"/>
            </w:pPr>
            <w:r>
              <w:rPr>
                <w:rFonts w:ascii="仿宋_GB2312" w:hAnsi="仿宋_GB2312" w:cs="仿宋_GB2312" w:eastAsia="仿宋_GB2312"/>
                <w:sz w:val="24"/>
              </w:rPr>
              <w:t>数据接收后根据省级不动产登记数据库要求，使用质检软件对接收的成果数据进行质量检查，存在问题的数据及时与区县进行反馈沟通，要求区县进行修改完善，等待区县修改并重新提交数据后开展数据入库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、数据入库</w:t>
            </w:r>
          </w:p>
          <w:p>
            <w:pPr>
              <w:pStyle w:val="null3"/>
              <w:ind w:firstLine="480"/>
              <w:jc w:val="both"/>
            </w:pPr>
            <w:r>
              <w:rPr>
                <w:rFonts w:ascii="仿宋_GB2312" w:hAnsi="仿宋_GB2312" w:cs="仿宋_GB2312" w:eastAsia="仿宋_GB2312"/>
                <w:sz w:val="24"/>
              </w:rPr>
              <w:t>将分析检查无误的林权、农村土地承包经营权数据按照省级不动产登记信息管理基础平台数据库标准进行省级入库，形成全省统一的不动产登记成果数据库，并对入库数据进行全面的信息复核，比对入库前和入库后的数据，做到不重不漏不错，确保数据一致，符合质量控制要求。对出现问题的区县进行记录和反馈。数据入库工作主要包括：①入库数据处理；②矢量数据入库；③登记数据入库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、入库成果检查</w:t>
            </w:r>
          </w:p>
          <w:p>
            <w:pPr>
              <w:pStyle w:val="null3"/>
              <w:ind w:firstLine="480"/>
              <w:jc w:val="both"/>
            </w:pPr>
            <w:r>
              <w:rPr>
                <w:rFonts w:ascii="仿宋_GB2312" w:hAnsi="仿宋_GB2312" w:cs="仿宋_GB2312" w:eastAsia="仿宋_GB2312"/>
                <w:sz w:val="24"/>
              </w:rPr>
              <w:t>存量数据入库后，检查数据库成果是否符合省级不动产登记信息管理基础平台运行要求。检查内容包括检查存量增量数据衔接情况</w:t>
            </w:r>
            <w:r>
              <w:rPr>
                <w:rFonts w:ascii="仿宋_GB2312" w:hAnsi="仿宋_GB2312" w:cs="仿宋_GB2312" w:eastAsia="仿宋_GB2312"/>
                <w:sz w:val="24"/>
              </w:rPr>
              <w:t>,</w:t>
            </w:r>
            <w:r>
              <w:rPr>
                <w:rFonts w:ascii="仿宋_GB2312" w:hAnsi="仿宋_GB2312" w:cs="仿宋_GB2312" w:eastAsia="仿宋_GB2312"/>
                <w:sz w:val="24"/>
              </w:rPr>
              <w:t>是否符合要求；检查数据运行使用情况，是否符合要求；检查入库数据数量、字段内容，是否符合要求。</w:t>
            </w:r>
          </w:p>
          <w:p>
            <w:pPr>
              <w:pStyle w:val="null3"/>
              <w:outlineLvl w:val="1"/>
            </w:pPr>
            <w:r>
              <w:rPr>
                <w:rFonts w:ascii="仿宋_GB2312" w:hAnsi="仿宋_GB2312" w:cs="仿宋_GB2312" w:eastAsia="仿宋_GB2312"/>
                <w:sz w:val="24"/>
                <w:b/>
              </w:rPr>
              <w:t>五、服务期限</w:t>
            </w:r>
          </w:p>
          <w:p>
            <w:pPr>
              <w:pStyle w:val="null3"/>
              <w:ind w:firstLine="480"/>
              <w:jc w:val="both"/>
            </w:pPr>
            <w:r>
              <w:rPr>
                <w:rFonts w:ascii="仿宋_GB2312" w:hAnsi="仿宋_GB2312" w:cs="仿宋_GB2312" w:eastAsia="仿宋_GB2312"/>
                <w:sz w:val="24"/>
              </w:rPr>
              <w:t>2025</w:t>
            </w:r>
            <w:r>
              <w:rPr>
                <w:rFonts w:ascii="仿宋_GB2312" w:hAnsi="仿宋_GB2312" w:cs="仿宋_GB2312" w:eastAsia="仿宋_GB2312"/>
                <w:sz w:val="24"/>
              </w:rPr>
              <w:t>年11月30日之前完成验收</w:t>
            </w:r>
            <w:r>
              <w:rPr>
                <w:rFonts w:ascii="仿宋_GB2312" w:hAnsi="仿宋_GB2312" w:cs="仿宋_GB2312" w:eastAsia="仿宋_GB2312"/>
                <w:sz w:val="24"/>
              </w:rPr>
              <w:t>。</w:t>
            </w:r>
          </w:p>
          <w:p>
            <w:pPr>
              <w:pStyle w:val="null3"/>
              <w:outlineLvl w:val="1"/>
            </w:pPr>
            <w:r>
              <w:rPr>
                <w:rFonts w:ascii="仿宋_GB2312" w:hAnsi="仿宋_GB2312" w:cs="仿宋_GB2312" w:eastAsia="仿宋_GB2312"/>
                <w:sz w:val="24"/>
                <w:b/>
              </w:rPr>
              <w:t>六、保密要求</w:t>
            </w:r>
          </w:p>
          <w:p>
            <w:pPr>
              <w:pStyle w:val="null3"/>
            </w:pPr>
            <w:r>
              <w:rPr>
                <w:rFonts w:ascii="仿宋_GB2312" w:hAnsi="仿宋_GB2312" w:cs="仿宋_GB2312" w:eastAsia="仿宋_GB2312"/>
                <w:sz w:val="24"/>
              </w:rPr>
              <w:t xml:space="preserve">  参与本项目的项目组成员须与用户签署此项目特定的保密协议，对工作过程数据和结果数据严格保密，未经授权不得泄露给任何单位和个人。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服务期限：2025年11月30日之前完成验收。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陕西省不动产登记服务中心指定地点。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1.项目验收由采购人或其委托的专家或第三方机构对项目进行验收，验收时，成交人应无条件予以配合并提供所需的全部资料； 2.验收依据：磋商文件、响应文件、合同文本、国内相应的标准、规范。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供应商在采购人办理各期付款的支付手续前，应向采购人出具等额的符合国家规定的发票（下述时间不包括采购人正常办理支付报批手续的时间），合同签订后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1、供应商需要在线提交所有通过电子化交易平台实施的政府采购项目的响应文件，同时，线下提交纸质响应文件正本壹份、副本叁份、电子版壹份（U盘壹份）。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供应商资格证明文件--采购包1.docx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供应商资格证明文件--采购包1.docx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具备测绘甲级资质证书。</w:t>
            </w:r>
          </w:p>
        </w:tc>
        <w:tc>
          <w:tcPr>
            <w:tcW w:type="dxa" w:w="1661"/>
          </w:tcPr>
          <w:p>
            <w:pPr>
              <w:pStyle w:val="null3"/>
            </w:pPr>
            <w:r>
              <w:rPr>
                <w:rFonts w:ascii="仿宋_GB2312" w:hAnsi="仿宋_GB2312" w:cs="仿宋_GB2312" w:eastAsia="仿宋_GB2312"/>
              </w:rPr>
              <w:t>供应商资格证明文件--采购包1.docx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中小企业声明函--采购包1.docx 报价表 供应商资格证明文件--采购包1.docx 保证金交纳凭证保函.docx 供应商承诺书.docx 商务条款响应说明.docx 响应文件封面 分项报价表.docx 响应方案说明--采购包1.docx 残疾人福利性单位声明函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中小企业声明函--采购包1.docx 报价表 供应商资格证明文件--采购包1.docx 保证金交纳凭证保函.docx 供应商承诺书.docx 商务条款响应说明.docx 响应文件封面 分项报价表.docx 响应方案说明--采购包1.docx 残疾人福利性单位声明函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分项报价表.docx 响应方案说明--采购包1.docx 中小企业声明函--采购包1.docx 标的清单 报价表 服务内容及服务要求应答表.docx 供应商资格证明文件--采购包1.docx 响应函 供应商承诺书.docx 商务条款响应说明.docx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根据供应商对本项目建设背景、建设目标、业务需求及建设依据的理解情况进行评审。 1、对本项目的背景分析全面、准确，项目目标及工作内容贴合项目采购需求，计10分； 2、对本项目的背景分析较全面、准确，项目目标及工作内容较能贴合项目采购需求，计7分； 3、对本项目的背景分析全面性、准确性一般，项目目标及工作内容基本能满足项目采购需求，计3分； 4、对本项目的背景分析简单，项目目标及工作内容不清晰，计1分；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总体技术路线及工作思路</w:t>
            </w:r>
          </w:p>
        </w:tc>
        <w:tc>
          <w:tcPr>
            <w:tcW w:type="dxa" w:w="2492"/>
          </w:tcPr>
          <w:p>
            <w:pPr>
              <w:pStyle w:val="null3"/>
            </w:pPr>
            <w:r>
              <w:rPr>
                <w:rFonts w:ascii="仿宋_GB2312" w:hAnsi="仿宋_GB2312" w:cs="仿宋_GB2312" w:eastAsia="仿宋_GB2312"/>
              </w:rPr>
              <w:t>根据供应商对本项目总体技术路线及工作思路进行评审： 1、方案合理、针对性强，技术路线先进，工作思路清晰，与建设内容符合度高，计10分； 2、方案较合理、针对性较强，技术路线较先进，工作思路基本清晰，与建设内容符合度较高，计7分； 3、方案基本合理、针对性一般，技术路线一般，工作思路简单，与建设内容基本符合，计3分； 4、方案合理性及针对性不强，技术路线落后，工作思路混乱，架构不清晰，计1分；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根据供应商对本项目服务方案进行评审。 1、服务方案详细、准确、合理，计10分； 2、服务方案较详细、准确、合理，计7分； 3、服务方案基本详细、准确、合理，计3分； 4、服务方案不合理或准确性差计1分；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根据供应商对全省林权、农村土地承包经营权数据接收、数据入库、数据检查的设计方案进行评审。 1、设计方案合理、针对性强、架构清晰完整，计12分； 2、设计方案较合理、针对性较强、架构比较清晰完整，计9分； 3、设计方案基本合理、架构基本清晰，具有一定针对性，计6分； 4、设计方案基本合理、架构基本清晰，针对性不足，计3分； 5、设计方案具简单，架构不够清晰，不具备针对性，计1分； 6、未提供的不计分。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进度控制、质量保障及安全管理方案</w:t>
            </w:r>
          </w:p>
        </w:tc>
        <w:tc>
          <w:tcPr>
            <w:tcW w:type="dxa" w:w="2492"/>
          </w:tcPr>
          <w:p>
            <w:pPr>
              <w:pStyle w:val="null3"/>
            </w:pPr>
            <w:r>
              <w:rPr>
                <w:rFonts w:ascii="仿宋_GB2312" w:hAnsi="仿宋_GB2312" w:cs="仿宋_GB2312" w:eastAsia="仿宋_GB2312"/>
              </w:rPr>
              <w:t>根据供应商对项目进度控制、质量保障、安全管理提供的实施方案进行评审。 1、方案内容完整、科学合理、针对性、可操作性强，计10分； 2、方案内容较完整、合理，针对性、可操作性较强，计7分； 3、方案内容基本完整、合理、针对性、可操作性一般，计3分； 4、方案内容简单，具有一定合理性及可操作性，但不具备针对性，计1分；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1、供应商具有计算机软件著作权登记证书，且内容覆盖不动产权籍调查数据建库或自然资源数据处理或不动产数据整合录入的，每有一项计1分，本项最高计4分。 2、供应商具有软件能力成熟度证书，3级及以上计2分，其他不计分。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实施组织机构</w:t>
            </w:r>
          </w:p>
        </w:tc>
        <w:tc>
          <w:tcPr>
            <w:tcW w:type="dxa" w:w="2492"/>
          </w:tcPr>
          <w:p>
            <w:pPr>
              <w:pStyle w:val="null3"/>
            </w:pPr>
            <w:r>
              <w:rPr>
                <w:rFonts w:ascii="仿宋_GB2312" w:hAnsi="仿宋_GB2312" w:cs="仿宋_GB2312" w:eastAsia="仿宋_GB2312"/>
              </w:rPr>
              <w:t>针对本项目有具体的实施组织机构、项目团队有明确的组织形式、人员结构，职责任务明确，能确保项目顺利实施。 1、方案合理全面、针对性强，计5分； 2、方案完整、有针对性，计3分； 3、方案不合理、不具备针对性，计1分；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供应商拟派项目负责人（有且只有一人）具有土地、测绘、电子信息工程等相关专业高级职称，每具备1项计1分，满分3分。 注： 须同时提供加盖公章的相关证书扫描件及在本单位的任职证明（包括但不限于磋商前六个月内任意一个月在本单位的社保缴纳证明），未提供或提供不全不计分。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1.项目组其他成员（除项目负责人）具有注册测绘师证书（在本单位注册），每具备1人，计1分，满分2分； 2、项目组其他成员（除项目负责人）具有土地、测绘、电子信息工程等相关专业证书，每提供一个相关专业高级职称证书计2分，中级职称证书计1分，其他不计分，本项最高计4分。 注：须同时提供加盖公章的相关证书扫描件及在本单位的任职证明（包括但不限于磋商前六个月内任意一个月在本单位的社保缴纳证明），未提供或提供不全不计分。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提供针对本项目的保密承诺及保密措施。 1、措施完整，科学合理，清晰明确，针对性强，计5分； 2、措施较完整，可行性、针对性一般，计3分； 3、措施简单，不具备针对性，计1分； 4、未提供的不计分。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供应商针对本项目具备完整的售后服务承诺、售后服务方案和具有突发性事件处理能力等。售后服务方案完善，内容表述完整清楚，完全满足客户需求，计4分，内容合理性较弱的计2分，否则不得分。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供应商针对本项目具有可行的技术培训方案，培训采购人指定的技术人员和管理人员。 1、具有完善的培训方案，内容完整、合理，针对性强，计4分； 2、内容基本完整、合理，针对性一般，计3分； 3、内容简单、模糊，针对性差的，计1分； 4、未提供的不计分。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响应方案说明--采购包1.docx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供应商提供2022年1月1日至今（以合同签订日期为准）类似项目的业绩合同，每份计1分，满分5分。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响应方案说明--采购包1.docx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中小企业声明函--采购包1.docx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详见附件：供应商资格证明文件--采购包1.docx</w:t>
      </w:r>
    </w:p>
    <w:p>
      <w:pPr>
        <w:pStyle w:val="null3"/>
        <w:ind w:firstLine="960"/>
      </w:pPr>
      <w:r>
        <w:rPr>
          <w:rFonts w:ascii="仿宋_GB2312" w:hAnsi="仿宋_GB2312" w:cs="仿宋_GB2312" w:eastAsia="仿宋_GB2312"/>
        </w:rPr>
        <w:t>详见附件：响应方案说明--采购包1.docx</w:t>
      </w:r>
    </w:p>
    <w:p>
      <w:pPr>
        <w:pStyle w:val="null3"/>
        <w:ind w:firstLine="960"/>
      </w:pPr>
      <w:r>
        <w:rPr>
          <w:rFonts w:ascii="仿宋_GB2312" w:hAnsi="仿宋_GB2312" w:cs="仿宋_GB2312" w:eastAsia="仿宋_GB2312"/>
        </w:rPr>
        <w:t>详见附件：中小企业声明函--采购包1.docx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