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版本号：BYTC2025CG01620250618002</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移动警务终端购置项目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BYTC2025CG016</w:t>
      </w:r>
      <w:r>
        <w:br/>
      </w:r>
      <w:r>
        <w:br/>
      </w:r>
      <w:r>
        <w:br/>
      </w:r>
    </w:p>
    <w:p>
      <w:pPr>
        <w:pStyle w:val="null3"/>
        <w:jc w:val="center"/>
        <w:outlineLvl w:val="2"/>
      </w:pPr>
      <w:r>
        <w:rPr>
          <w:rFonts w:ascii="仿宋_GB2312" w:hAnsi="仿宋_GB2312" w:cs="仿宋_GB2312" w:eastAsia="仿宋_GB2312"/>
          <w:sz w:val="28"/>
          <w:b/>
        </w:rPr>
        <w:t>陕西省汉中强制隔离戒毒所</w:t>
      </w:r>
    </w:p>
    <w:p>
      <w:pPr>
        <w:pStyle w:val="null3"/>
        <w:jc w:val="center"/>
        <w:outlineLvl w:val="2"/>
      </w:pPr>
      <w:r>
        <w:rPr>
          <w:rFonts w:ascii="仿宋_GB2312" w:hAnsi="仿宋_GB2312" w:cs="仿宋_GB2312" w:eastAsia="仿宋_GB2312"/>
          <w:sz w:val="28"/>
          <w:b/>
        </w:rPr>
        <w:t>陕西博宇天诚项目管理有限公司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2025年05月29日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陕西博宇天诚项目管理有限公司</w:t>
      </w:r>
      <w:r>
        <w:rPr>
          <w:rFonts w:ascii="仿宋_GB2312" w:hAnsi="仿宋_GB2312" w:cs="仿宋_GB2312" w:eastAsia="仿宋_GB2312"/>
        </w:rPr>
        <w:t>（以下简称“代理机构”）受</w:t>
      </w:r>
      <w:r>
        <w:rPr>
          <w:rFonts w:ascii="仿宋_GB2312" w:hAnsi="仿宋_GB2312" w:cs="仿宋_GB2312" w:eastAsia="仿宋_GB2312"/>
        </w:rPr>
        <w:t>陕西省汉中强制隔离戒毒所</w:t>
      </w:r>
      <w:r>
        <w:rPr>
          <w:rFonts w:ascii="仿宋_GB2312" w:hAnsi="仿宋_GB2312" w:cs="仿宋_GB2312" w:eastAsia="仿宋_GB2312"/>
        </w:rPr>
        <w:t>委托，拟对</w:t>
      </w:r>
      <w:r>
        <w:rPr>
          <w:rFonts w:ascii="仿宋_GB2312" w:hAnsi="仿宋_GB2312" w:cs="仿宋_GB2312" w:eastAsia="仿宋_GB2312"/>
        </w:rPr>
        <w:t>移动警务终端购置项目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BYTC2025CG016</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移动警务终端购置项目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移动警务终端购置项目，实现一线民警移动执法办案、现场业务办理、远程异地办公等移动业务的需求，提高机关应急指挥、快速反应、高效服务的能力。</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1、有效的主体资格证明：营业执照等主体资格证明文件：提供有效存续的企业营业执照（副本）/事业单位法人证书/专业服务机构执业许可证/民办非企业单位登记证书。</w:t>
      </w:r>
    </w:p>
    <w:p>
      <w:pPr>
        <w:pStyle w:val="null3"/>
      </w:pPr>
      <w:r>
        <w:rPr>
          <w:rFonts w:ascii="仿宋_GB2312" w:hAnsi="仿宋_GB2312" w:cs="仿宋_GB2312" w:eastAsia="仿宋_GB2312"/>
        </w:rPr>
        <w:t>2、财务状况报告 （任选其一）：提供 2024 年度经审计的财务报告（包括资产负债表、利润表、现金流量表、所有者权益变动表及其附注，成立时间至提交响应文件截止时间不足一年的可提供成立后任意时段的资产负债表），或其开标前三个月内基本存款账户开户银行出具的资信证明，（以上二种形式的资料提供任何一种即可）。</w:t>
      </w:r>
    </w:p>
    <w:p>
      <w:pPr>
        <w:pStyle w:val="null3"/>
      </w:pPr>
      <w:r>
        <w:rPr>
          <w:rFonts w:ascii="仿宋_GB2312" w:hAnsi="仿宋_GB2312" w:cs="仿宋_GB2312" w:eastAsia="仿宋_GB2312"/>
        </w:rPr>
        <w:t>3、社保资金缴纳证明：提供2024年4月1日至今已缴纳任意一个月的社会保障资金缴存单据或社保机构开具的社会保险参保缴费情况证明。依法不需要缴纳社会保障资金的供应商应提供相关证明文件。</w:t>
      </w:r>
    </w:p>
    <w:p>
      <w:pPr>
        <w:pStyle w:val="null3"/>
      </w:pPr>
      <w:r>
        <w:rPr>
          <w:rFonts w:ascii="仿宋_GB2312" w:hAnsi="仿宋_GB2312" w:cs="仿宋_GB2312" w:eastAsia="仿宋_GB2312"/>
        </w:rPr>
        <w:t>4、税收缴纳证明：提供2024年4月1日至今已缴纳任意一个月的依法缴纳税收的相关凭据（时间以税款所属日期为准、税种为任意税种），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5、信用查询：通过“中国政府采购网”及“信用中国”网站查询相关主体无失信记录（网站查询截图加盖投标人公章，不得为“信用中国”中列入失信被执行人和重大税收违法案件当事人名单的投标人，不得为中国政府采购网政府采购严重违法失信行为记录名单中被财政部门禁止参加政府采购活动的投标人；（响应文件开启结束后，采购人或代理机构查询供应商在响应文件提交截止时间前的信用记录并保存信用记录结果网页截图）</w:t>
      </w:r>
    </w:p>
    <w:p>
      <w:pPr>
        <w:pStyle w:val="null3"/>
      </w:pPr>
      <w:r>
        <w:rPr>
          <w:rFonts w:ascii="仿宋_GB2312" w:hAnsi="仿宋_GB2312" w:cs="仿宋_GB2312" w:eastAsia="仿宋_GB2312"/>
        </w:rPr>
        <w:t>6、法定代表人（负责人）委托授权书\身份证明：法定代表人授权委托书：法定代表人参加投标的，须提供本人身份证复印件（附在资格证明文件中）；法定代表人授权他人参加投标的，须提供法定代表人授权委托书。招标文件中凡是需要法定代表人盖章之处，非法人单位的负责人均参照执行。</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陕西省汉中强制隔离戒毒所</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汉台区广上路95号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刘先生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0916-2315880</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陕西博宇天诚项目管理有限公司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陕西省汉中市汉台区陕西省汉中市汉台区汉中路街道办事处荔枝路智诚雅居2楼1号写字间</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0916-2697988</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采购包1：510,000.00元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采购包1保证金金额：3,000.00元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开户名称：陕西博宇天诚项目管理有限公司</w:t>
            </w:r>
          </w:p>
          <w:p>
            <w:pPr>
              <w:pStyle w:val="null3"/>
            </w:pPr>
            <w:r>
              <w:rPr>
                <w:rFonts w:ascii="仿宋_GB2312" w:hAnsi="仿宋_GB2312" w:cs="仿宋_GB2312" w:eastAsia="仿宋_GB2312"/>
              </w:rPr>
              <w:t>开户银行：长安银行兴元路支行</w:t>
            </w:r>
          </w:p>
          <w:p>
            <w:pPr>
              <w:pStyle w:val="null3"/>
            </w:pPr>
            <w:r>
              <w:rPr>
                <w:rFonts w:ascii="仿宋_GB2312" w:hAnsi="仿宋_GB2312" w:cs="仿宋_GB2312" w:eastAsia="仿宋_GB2312"/>
              </w:rPr>
              <w:t>银行账号：806060601429999888</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代理服务费收费标准：本项目招标代理费参照《招标代理服务收费管理暂行办法》所规定的收费标准由中标供应商支付，不足叁仟元的，按叁仟元计取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陕西省汉中强制隔离戒毒所</w:t>
      </w:r>
      <w:r>
        <w:rPr>
          <w:rFonts w:ascii="仿宋_GB2312" w:hAnsi="仿宋_GB2312" w:cs="仿宋_GB2312" w:eastAsia="仿宋_GB2312"/>
        </w:rPr>
        <w:t>和</w:t>
      </w:r>
      <w:r>
        <w:rPr>
          <w:rFonts w:ascii="仿宋_GB2312" w:hAnsi="仿宋_GB2312" w:cs="仿宋_GB2312" w:eastAsia="仿宋_GB2312"/>
        </w:rPr>
        <w:t>陕西博宇天诚项目管理有限公司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陕西省汉中强制隔离戒毒所</w:t>
      </w:r>
      <w:r>
        <w:rPr>
          <w:rFonts w:ascii="仿宋_GB2312" w:hAnsi="仿宋_GB2312" w:cs="仿宋_GB2312" w:eastAsia="仿宋_GB2312"/>
        </w:rPr>
        <w:t>负责解释。除上述招标文件内容，其他内容由</w:t>
      </w:r>
      <w:r>
        <w:rPr>
          <w:rFonts w:ascii="仿宋_GB2312" w:hAnsi="仿宋_GB2312" w:cs="仿宋_GB2312" w:eastAsia="仿宋_GB2312"/>
        </w:rPr>
        <w:t>陕西博宇天诚项目管理有限公司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陕西省汉中强制隔离戒毒所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陕西博宇天诚项目管理有限公司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配送货物品牌、型号、规格与投标文件及合同约定一致，产品质量满足国家级行业相关标准。</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陕西博宇天诚项目管理有限公司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陕西博宇天诚项目管理有限公司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陕西博宇天诚项目管理有限公司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联系人：李飞</w:t>
      </w:r>
    </w:p>
    <w:p>
      <w:pPr>
        <w:pStyle w:val="null3"/>
      </w:pPr>
      <w:r>
        <w:rPr>
          <w:rFonts w:ascii="仿宋_GB2312" w:hAnsi="仿宋_GB2312" w:cs="仿宋_GB2312" w:eastAsia="仿宋_GB2312"/>
        </w:rPr>
        <w:t>联系电话：0916-2697988</w:t>
      </w:r>
    </w:p>
    <w:p>
      <w:pPr>
        <w:pStyle w:val="null3"/>
      </w:pPr>
      <w:r>
        <w:rPr>
          <w:rFonts w:ascii="仿宋_GB2312" w:hAnsi="仿宋_GB2312" w:cs="仿宋_GB2312" w:eastAsia="仿宋_GB2312"/>
        </w:rPr>
        <w:t>地址：陕西省汉中市汉台区荔枝路祥瑞四季印象南侧(房产大厦斜对面)智城雅居二楼(国旺源建材城北侧)</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移动警务终端购置项目，实现一线民警移动执法办案、现场业务办理、远程异地办公等移动业务的需求，提高机关应急指挥、快速反应、高效服务的能力。</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510,000.00</w:t>
      </w:r>
    </w:p>
    <w:p>
      <w:pPr>
        <w:pStyle w:val="null3"/>
      </w:pPr>
      <w:r>
        <w:rPr>
          <w:rFonts w:ascii="仿宋_GB2312" w:hAnsi="仿宋_GB2312" w:cs="仿宋_GB2312" w:eastAsia="仿宋_GB2312"/>
        </w:rPr>
        <w:t>采购包最高限价（元）: 510,000.00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510000</w:t>
            </w:r>
          </w:p>
        </w:tc>
        <w:tc>
          <w:tcPr>
            <w:tcW w:type="dxa" w:w="831"/>
          </w:tcPr>
          <w:p>
            <w:pPr>
              <w:pStyle w:val="null3"/>
              <w:jc w:val="right"/>
            </w:pPr>
            <w:r>
              <w:rPr>
                <w:rFonts w:ascii="仿宋_GB2312" w:hAnsi="仿宋_GB2312" w:cs="仿宋_GB2312" w:eastAsia="仿宋_GB2312"/>
              </w:rPr>
              <w:t>85.00</w:t>
            </w:r>
          </w:p>
        </w:tc>
        <w:tc>
          <w:tcPr>
            <w:tcW w:type="dxa" w:w="831"/>
          </w:tcPr>
          <w:p>
            <w:pPr>
              <w:pStyle w:val="null3"/>
              <w:jc w:val="right"/>
            </w:pPr>
            <w:r>
              <w:rPr>
                <w:rFonts w:ascii="仿宋_GB2312" w:hAnsi="仿宋_GB2312" w:cs="仿宋_GB2312" w:eastAsia="仿宋_GB2312"/>
              </w:rPr>
              <w:t>510,000.00</w:t>
            </w:r>
          </w:p>
        </w:tc>
        <w:tc>
          <w:tcPr>
            <w:tcW w:type="dxa" w:w="831"/>
          </w:tcPr>
          <w:p>
            <w:pPr>
              <w:pStyle w:val="null3"/>
            </w:pPr>
            <w:r>
              <w:rPr>
                <w:rFonts w:ascii="仿宋_GB2312" w:hAnsi="仿宋_GB2312" w:cs="仿宋_GB2312" w:eastAsia="仿宋_GB2312"/>
              </w:rPr>
              <w:t>部</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标的名称：510000</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4"/>
                <w:b/>
              </w:rPr>
              <w:t>▲</w:t>
            </w:r>
            <w:r>
              <w:rPr>
                <w:rFonts w:ascii="仿宋_GB2312" w:hAnsi="仿宋_GB2312" w:cs="仿宋_GB2312" w:eastAsia="仿宋_GB2312"/>
                <w:sz w:val="24"/>
              </w:rPr>
              <w:t>1、国产品牌；</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4"/>
                <w:b/>
              </w:rPr>
              <w:t>▲</w:t>
            </w:r>
            <w:r>
              <w:rPr>
                <w:rFonts w:ascii="仿宋_GB2312" w:hAnsi="仿宋_GB2312" w:cs="仿宋_GB2312" w:eastAsia="仿宋_GB2312"/>
                <w:sz w:val="24"/>
              </w:rPr>
              <w:t>2、支持安全双系统，具备双系统隔离功能，两个操作系统运行在不同的ROM空间，系统文件独立；通话记录、通讯录、图片、视频以及其他信息不能相互访问；两个操作系统间支持一键快速切换、指纹切换、NFC感应切换；某一个系统瘫痪不会影响另一个系统的运行；</w:t>
            </w:r>
          </w:p>
        </w:tc>
      </w:tr>
      <w:tr>
        <w:tc>
          <w:tcPr>
            <w:tcW w:type="dxa" w:w="2769"/>
          </w:tcPr>
          <w:p>
            <w:pPr>
              <w:pStyle w:val="null3"/>
            </w:pPr>
            <w:r>
              <w:rPr>
                <w:rFonts w:ascii="仿宋_GB2312" w:hAnsi="仿宋_GB2312" w:cs="仿宋_GB2312" w:eastAsia="仿宋_GB2312"/>
              </w:rPr>
              <w:t>3</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b/>
              </w:rPr>
              <w:t>▲</w:t>
            </w:r>
            <w:r>
              <w:rPr>
                <w:rFonts w:ascii="仿宋_GB2312" w:hAnsi="仿宋_GB2312" w:cs="仿宋_GB2312" w:eastAsia="仿宋_GB2312"/>
                <w:sz w:val="24"/>
              </w:rPr>
              <w:t>3、</w:t>
            </w:r>
            <w:r>
              <w:rPr>
                <w:rFonts w:ascii="仿宋_GB2312" w:hAnsi="仿宋_GB2312" w:cs="仿宋_GB2312" w:eastAsia="仿宋_GB2312"/>
                <w:sz w:val="24"/>
              </w:rPr>
              <w:t>服务条件：放置在</w:t>
            </w:r>
            <w:r>
              <w:rPr>
                <w:rFonts w:ascii="仿宋_GB2312" w:hAnsi="仿宋_GB2312" w:cs="仿宋_GB2312" w:eastAsia="仿宋_GB2312"/>
                <w:sz w:val="24"/>
              </w:rPr>
              <w:t>SIM卡上插入移动警务终端卡槽中，可为移动警务终端提供身份认证和信息加密服务，支持Nano SIM卡类型。</w:t>
            </w:r>
          </w:p>
        </w:tc>
      </w:tr>
      <w:tr>
        <w:tc>
          <w:tcPr>
            <w:tcW w:type="dxa" w:w="2769"/>
          </w:tcPr>
          <w:p>
            <w:pPr>
              <w:pStyle w:val="null3"/>
            </w:pPr>
            <w:r>
              <w:rPr>
                <w:rFonts w:ascii="仿宋_GB2312" w:hAnsi="仿宋_GB2312" w:cs="仿宋_GB2312" w:eastAsia="仿宋_GB2312"/>
              </w:rPr>
              <w:t>4</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b/>
              </w:rPr>
              <w:t>▲</w:t>
            </w:r>
            <w:r>
              <w:rPr>
                <w:rFonts w:ascii="仿宋_GB2312" w:hAnsi="仿宋_GB2312" w:cs="仿宋_GB2312" w:eastAsia="仿宋_GB2312"/>
                <w:sz w:val="24"/>
              </w:rPr>
              <w:t>4、</w:t>
            </w:r>
            <w:r>
              <w:rPr>
                <w:rFonts w:ascii="仿宋_GB2312" w:hAnsi="仿宋_GB2312" w:cs="仿宋_GB2312" w:eastAsia="仿宋_GB2312"/>
                <w:sz w:val="24"/>
              </w:rPr>
              <w:t>对接要求：</w:t>
            </w:r>
          </w:p>
          <w:p>
            <w:pPr>
              <w:pStyle w:val="null3"/>
              <w:ind w:firstLine="482"/>
              <w:jc w:val="both"/>
            </w:pPr>
            <w:r>
              <w:rPr>
                <w:rFonts w:ascii="仿宋_GB2312" w:hAnsi="仿宋_GB2312" w:cs="仿宋_GB2312" w:eastAsia="仿宋_GB2312"/>
                <w:sz w:val="24"/>
                <w:b/>
              </w:rPr>
              <w:t>▲</w:t>
            </w:r>
            <w:r>
              <w:rPr>
                <w:rFonts w:ascii="仿宋_GB2312" w:hAnsi="仿宋_GB2312" w:cs="仿宋_GB2312" w:eastAsia="仿宋_GB2312"/>
                <w:sz w:val="24"/>
              </w:rPr>
              <w:t>支持对接场所门禁系统，无缝安全对接陕西省戒毒管理局新一代移动警务平台。</w:t>
            </w:r>
          </w:p>
        </w:tc>
      </w:tr>
      <w:tr>
        <w:tc>
          <w:tcPr>
            <w:tcW w:type="dxa" w:w="2769"/>
          </w:tcPr>
          <w:p>
            <w:pPr>
              <w:pStyle w:val="null3"/>
            </w:pPr>
            <w:r>
              <w:rPr>
                <w:rFonts w:ascii="仿宋_GB2312" w:hAnsi="仿宋_GB2312" w:cs="仿宋_GB2312" w:eastAsia="仿宋_GB2312"/>
              </w:rPr>
              <w:t>5</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b/>
              </w:rPr>
              <w:t>▲</w:t>
            </w:r>
            <w:r>
              <w:rPr>
                <w:rFonts w:ascii="仿宋_GB2312" w:hAnsi="仿宋_GB2312" w:cs="仿宋_GB2312" w:eastAsia="仿宋_GB2312"/>
                <w:sz w:val="24"/>
              </w:rPr>
              <w:t>5、配置要求</w:t>
            </w:r>
          </w:p>
          <w:p>
            <w:pPr>
              <w:pStyle w:val="null3"/>
              <w:jc w:val="both"/>
            </w:pPr>
            <w:r>
              <w:rPr>
                <w:rFonts w:ascii="仿宋_GB2312" w:hAnsi="仿宋_GB2312" w:cs="仿宋_GB2312" w:eastAsia="仿宋_GB2312"/>
                <w:sz w:val="24"/>
                <w:b/>
              </w:rPr>
              <w:t>▲</w:t>
            </w:r>
            <w:r>
              <w:rPr>
                <w:rFonts w:ascii="仿宋_GB2312" w:hAnsi="仿宋_GB2312" w:cs="仿宋_GB2312" w:eastAsia="仿宋_GB2312"/>
                <w:sz w:val="24"/>
              </w:rPr>
              <w:t>（</w:t>
            </w:r>
            <w:r>
              <w:rPr>
                <w:rFonts w:ascii="仿宋_GB2312" w:hAnsi="仿宋_GB2312" w:cs="仿宋_GB2312" w:eastAsia="仿宋_GB2312"/>
                <w:sz w:val="24"/>
              </w:rPr>
              <w:t>1）cpu：国产芯片；CPU核数≥8核，CPU主频≥2.4Ghz。</w:t>
            </w:r>
          </w:p>
          <w:p>
            <w:pPr>
              <w:pStyle w:val="null3"/>
              <w:jc w:val="left"/>
            </w:pPr>
            <w:r>
              <w:rPr>
                <w:rFonts w:ascii="仿宋_GB2312" w:hAnsi="仿宋_GB2312" w:cs="仿宋_GB2312" w:eastAsia="仿宋_GB2312"/>
                <w:sz w:val="24"/>
                <w:b/>
              </w:rPr>
              <w:t>▲</w:t>
            </w:r>
            <w:r>
              <w:rPr>
                <w:rFonts w:ascii="仿宋_GB2312" w:hAnsi="仿宋_GB2312" w:cs="仿宋_GB2312" w:eastAsia="仿宋_GB2312"/>
                <w:sz w:val="24"/>
              </w:rPr>
              <w:t>（</w:t>
            </w:r>
            <w:r>
              <w:rPr>
                <w:rFonts w:ascii="仿宋_GB2312" w:hAnsi="仿宋_GB2312" w:cs="仿宋_GB2312" w:eastAsia="仿宋_GB2312"/>
                <w:sz w:val="24"/>
              </w:rPr>
              <w:t>2）操作系统要求：定制双系统；两个操作系统运行在不同的ROM空间，系统文件独立；通话记录、通讯录、图片、视频以及其他信息不能相互访问；两个操作系统间支持一键快速切换、指纹切换、NFC感应切换；某一个系统瘫痪不会影响另一个系统的运行。系统兼容Android14.0操作系统、Harmony OS4.2、MagicOS8.0及以上。</w:t>
            </w:r>
          </w:p>
          <w:p>
            <w:pPr>
              <w:pStyle w:val="null3"/>
              <w:jc w:val="both"/>
            </w:pPr>
            <w:r>
              <w:rPr>
                <w:rFonts w:ascii="仿宋_GB2312" w:hAnsi="仿宋_GB2312" w:cs="仿宋_GB2312" w:eastAsia="仿宋_GB2312"/>
                <w:sz w:val="24"/>
                <w:b/>
              </w:rPr>
              <w:t>▲</w:t>
            </w: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网络要求：双卡双待</w:t>
            </w:r>
            <w:r>
              <w:rPr>
                <w:rFonts w:ascii="仿宋_GB2312" w:hAnsi="仿宋_GB2312" w:cs="仿宋_GB2312" w:eastAsia="仿宋_GB2312"/>
                <w:sz w:val="24"/>
              </w:rPr>
              <w:t>双通道</w:t>
            </w:r>
            <w:r>
              <w:rPr>
                <w:rFonts w:ascii="仿宋_GB2312" w:hAnsi="仿宋_GB2312" w:cs="仿宋_GB2312" w:eastAsia="仿宋_GB2312"/>
                <w:sz w:val="24"/>
              </w:rPr>
              <w:t>，</w:t>
            </w:r>
            <w:r>
              <w:rPr>
                <w:rFonts w:ascii="仿宋_GB2312" w:hAnsi="仿宋_GB2312" w:cs="仿宋_GB2312" w:eastAsia="仿宋_GB2312"/>
                <w:sz w:val="24"/>
              </w:rPr>
              <w:t>支持</w:t>
            </w:r>
            <w:r>
              <w:rPr>
                <w:rFonts w:ascii="仿宋_GB2312" w:hAnsi="仿宋_GB2312" w:cs="仿宋_GB2312" w:eastAsia="仿宋_GB2312"/>
                <w:sz w:val="24"/>
              </w:rPr>
              <w:t>全网通。</w:t>
            </w:r>
          </w:p>
          <w:p>
            <w:pPr>
              <w:pStyle w:val="null3"/>
              <w:ind w:firstLine="480"/>
              <w:jc w:val="both"/>
            </w:pPr>
            <w:r>
              <w:rPr>
                <w:rFonts w:ascii="仿宋_GB2312" w:hAnsi="仿宋_GB2312" w:cs="仿宋_GB2312" w:eastAsia="仿宋_GB2312"/>
                <w:sz w:val="24"/>
              </w:rPr>
              <w:t>5G网络制式:移动5G(NR)/联通5G(NR)/电信5G(NR)；</w:t>
            </w:r>
          </w:p>
          <w:p>
            <w:pPr>
              <w:pStyle w:val="null3"/>
              <w:ind w:firstLine="480"/>
              <w:jc w:val="both"/>
            </w:pPr>
            <w:r>
              <w:rPr>
                <w:rFonts w:ascii="仿宋_GB2312" w:hAnsi="仿宋_GB2312" w:cs="仿宋_GB2312" w:eastAsia="仿宋_GB2312"/>
                <w:sz w:val="24"/>
              </w:rPr>
              <w:t>4G网络制式:移动/联通/电信4G主副卡支持 TD-LTE/FDD-LTE；</w:t>
            </w:r>
          </w:p>
          <w:p>
            <w:pPr>
              <w:pStyle w:val="null3"/>
              <w:ind w:firstLine="480"/>
              <w:jc w:val="both"/>
            </w:pPr>
            <w:r>
              <w:rPr>
                <w:rFonts w:ascii="仿宋_GB2312" w:hAnsi="仿宋_GB2312" w:cs="仿宋_GB2312" w:eastAsia="仿宋_GB2312"/>
                <w:sz w:val="24"/>
              </w:rPr>
              <w:t>3G网络制式:主卡:联通3G(WCDMA)/电信3G(CDMA 2000);副卡:联通3G(WCDMA)；</w:t>
            </w:r>
          </w:p>
          <w:p>
            <w:pPr>
              <w:pStyle w:val="null3"/>
              <w:ind w:firstLine="480"/>
              <w:jc w:val="both"/>
            </w:pPr>
            <w:r>
              <w:rPr>
                <w:rFonts w:ascii="仿宋_GB2312" w:hAnsi="仿宋_GB2312" w:cs="仿宋_GB2312" w:eastAsia="仿宋_GB2312"/>
                <w:sz w:val="24"/>
              </w:rPr>
              <w:t>2G网络制式:主卡:移动2G(GSM)/联通2G(GSM)/电信 2G(CDMA1X);副卡:移动2G(GSM)/联通2G(GSM)/电信 2G (CDMA 1X)。</w:t>
            </w:r>
          </w:p>
          <w:p>
            <w:pPr>
              <w:pStyle w:val="null3"/>
              <w:jc w:val="both"/>
            </w:pPr>
            <w:r>
              <w:rPr>
                <w:rFonts w:ascii="仿宋_GB2312" w:hAnsi="仿宋_GB2312" w:cs="仿宋_GB2312" w:eastAsia="仿宋_GB2312"/>
                <w:sz w:val="24"/>
                <w:b/>
              </w:rPr>
              <w:t>▲</w:t>
            </w: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存储服务：运行内存（</w:t>
            </w:r>
            <w:r>
              <w:rPr>
                <w:rFonts w:ascii="仿宋_GB2312" w:hAnsi="仿宋_GB2312" w:cs="仿宋_GB2312" w:eastAsia="仿宋_GB2312"/>
                <w:sz w:val="24"/>
              </w:rPr>
              <w:t>RAM）≥12 GB</w:t>
            </w:r>
            <w:r>
              <w:rPr>
                <w:rFonts w:ascii="仿宋_GB2312" w:hAnsi="仿宋_GB2312" w:cs="仿宋_GB2312" w:eastAsia="仿宋_GB2312"/>
                <w:sz w:val="24"/>
              </w:rPr>
              <w:t>，</w:t>
            </w:r>
            <w:r>
              <w:rPr>
                <w:rFonts w:ascii="仿宋_GB2312" w:hAnsi="仿宋_GB2312" w:cs="仿宋_GB2312" w:eastAsia="仿宋_GB2312"/>
                <w:sz w:val="24"/>
              </w:rPr>
              <w:t>机身内存（</w:t>
            </w:r>
            <w:r>
              <w:rPr>
                <w:rFonts w:ascii="仿宋_GB2312" w:hAnsi="仿宋_GB2312" w:cs="仿宋_GB2312" w:eastAsia="仿宋_GB2312"/>
                <w:sz w:val="24"/>
              </w:rPr>
              <w:t>ROM）≥512 G</w:t>
            </w:r>
            <w:r>
              <w:rPr>
                <w:rFonts w:ascii="仿宋_GB2312" w:hAnsi="仿宋_GB2312" w:cs="仿宋_GB2312" w:eastAsia="仿宋_GB2312"/>
                <w:sz w:val="24"/>
              </w:rPr>
              <w:t>；</w:t>
            </w:r>
          </w:p>
          <w:p>
            <w:pPr>
              <w:pStyle w:val="null3"/>
              <w:jc w:val="both"/>
            </w:pP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sz w:val="24"/>
              </w:rPr>
              <w:t>6、</w:t>
            </w:r>
            <w:r>
              <w:rPr>
                <w:rFonts w:ascii="仿宋_GB2312" w:hAnsi="仿宋_GB2312" w:cs="仿宋_GB2312" w:eastAsia="仿宋_GB2312"/>
                <w:sz w:val="24"/>
              </w:rPr>
              <w:t>显示屏要求：</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尺寸：</w:t>
            </w:r>
            <w:r>
              <w:rPr>
                <w:rFonts w:ascii="仿宋_GB2312" w:hAnsi="仿宋_GB2312" w:cs="仿宋_GB2312" w:eastAsia="仿宋_GB2312"/>
                <w:sz w:val="24"/>
              </w:rPr>
              <w:t>≥6.</w:t>
            </w:r>
            <w:r>
              <w:rPr>
                <w:rFonts w:ascii="仿宋_GB2312" w:hAnsi="仿宋_GB2312" w:cs="仿宋_GB2312" w:eastAsia="仿宋_GB2312"/>
                <w:sz w:val="24"/>
              </w:rPr>
              <w:t>7</w:t>
            </w:r>
            <w:r>
              <w:rPr>
                <w:rFonts w:ascii="仿宋_GB2312" w:hAnsi="仿宋_GB2312" w:cs="仿宋_GB2312" w:eastAsia="仿宋_GB2312"/>
                <w:sz w:val="24"/>
              </w:rPr>
              <w:t>英寸。</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类别：</w:t>
            </w:r>
            <w:r>
              <w:rPr>
                <w:rFonts w:ascii="仿宋_GB2312" w:hAnsi="仿宋_GB2312" w:cs="仿宋_GB2312" w:eastAsia="仿宋_GB2312"/>
                <w:sz w:val="24"/>
              </w:rPr>
              <w:t>OLED</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分辨率：</w:t>
            </w:r>
            <w:r>
              <w:rPr>
                <w:rFonts w:ascii="仿宋_GB2312" w:hAnsi="仿宋_GB2312" w:cs="仿宋_GB2312" w:eastAsia="仿宋_GB2312"/>
                <w:sz w:val="24"/>
              </w:rPr>
              <w:t xml:space="preserve">≥ </w:t>
            </w:r>
            <w:r>
              <w:rPr>
                <w:rFonts w:ascii="仿宋_GB2312" w:hAnsi="仿宋_GB2312" w:cs="仿宋_GB2312" w:eastAsia="仿宋_GB2312"/>
                <w:sz w:val="24"/>
              </w:rPr>
              <w:t>2776 × 1224 像素</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4）屏幕刷新率≥120Hz</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5）色彩：10.7亿色</w:t>
            </w:r>
          </w:p>
        </w:tc>
      </w:tr>
      <w:tr>
        <w:tc>
          <w:tcPr>
            <w:tcW w:type="dxa" w:w="2769"/>
          </w:tcPr>
          <w:p>
            <w:pPr>
              <w:pStyle w:val="null3"/>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sz w:val="24"/>
              </w:rPr>
              <w:t>7、</w:t>
            </w:r>
            <w:r>
              <w:rPr>
                <w:rFonts w:ascii="仿宋_GB2312" w:hAnsi="仿宋_GB2312" w:cs="仿宋_GB2312" w:eastAsia="仿宋_GB2312"/>
                <w:sz w:val="24"/>
              </w:rPr>
              <w:t>拍摄功能要求：</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后置摄像头：不低于</w:t>
            </w:r>
            <w:r>
              <w:rPr>
                <w:rFonts w:ascii="仿宋_GB2312" w:hAnsi="仿宋_GB2312" w:cs="仿宋_GB2312" w:eastAsia="仿宋_GB2312"/>
                <w:sz w:val="24"/>
              </w:rPr>
              <w:t>5000万像素</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前置摄像头：不低于</w:t>
            </w:r>
            <w:r>
              <w:rPr>
                <w:rFonts w:ascii="仿宋_GB2312" w:hAnsi="仿宋_GB2312" w:cs="仿宋_GB2312" w:eastAsia="仿宋_GB2312"/>
                <w:sz w:val="24"/>
              </w:rPr>
              <w:t>50</w:t>
            </w:r>
            <w:r>
              <w:rPr>
                <w:rFonts w:ascii="仿宋_GB2312" w:hAnsi="仿宋_GB2312" w:cs="仿宋_GB2312" w:eastAsia="仿宋_GB2312"/>
                <w:sz w:val="24"/>
              </w:rPr>
              <w:t>00万像素</w:t>
            </w:r>
          </w:p>
        </w:tc>
      </w:tr>
      <w:tr>
        <w:tc>
          <w:tcPr>
            <w:tcW w:type="dxa" w:w="2769"/>
          </w:tcPr>
          <w:p>
            <w:pPr>
              <w:pStyle w:val="null3"/>
            </w:pPr>
            <w:r>
              <w:rPr>
                <w:rFonts w:ascii="仿宋_GB2312" w:hAnsi="仿宋_GB2312" w:cs="仿宋_GB2312" w:eastAsia="仿宋_GB2312"/>
              </w:rPr>
              <w:t>8</w:t>
            </w:r>
          </w:p>
        </w:tc>
        <w:tc>
          <w:tcPr>
            <w:tcW w:type="dxa" w:w="2769"/>
          </w:tcPr>
          <w:p/>
        </w:tc>
        <w:tc>
          <w:tcPr>
            <w:tcW w:type="dxa" w:w="2769"/>
          </w:tcPr>
          <w:p>
            <w:pPr>
              <w:pStyle w:val="null3"/>
              <w:jc w:val="left"/>
            </w:pPr>
            <w:r>
              <w:rPr>
                <w:rFonts w:ascii="仿宋_GB2312" w:hAnsi="仿宋_GB2312" w:cs="仿宋_GB2312" w:eastAsia="仿宋_GB2312"/>
                <w:sz w:val="24"/>
              </w:rPr>
              <w:t>8、</w:t>
            </w:r>
            <w:r>
              <w:rPr>
                <w:rFonts w:ascii="仿宋_GB2312" w:hAnsi="仿宋_GB2312" w:cs="仿宋_GB2312" w:eastAsia="仿宋_GB2312"/>
                <w:sz w:val="24"/>
              </w:rPr>
              <w:t>传输功能要求：</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NFC：支持读卡器模式、点对点模式、卡模拟模式（钱包支付，SIM 卡支付，HCE支付），SIM 卡只能放在SIM1卡槽。</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GPS：支持 GPS（L1+L5双频）/AGPS/Glonass/北斗/</w:t>
            </w:r>
            <w:r>
              <w:rPr>
                <w:rFonts w:ascii="仿宋_GB2312" w:hAnsi="仿宋_GB2312" w:cs="仿宋_GB2312" w:eastAsia="仿宋_GB2312"/>
                <w:sz w:val="24"/>
              </w:rPr>
              <w:t>GALILEO</w:t>
            </w:r>
            <w:r>
              <w:rPr>
                <w:rFonts w:ascii="仿宋_GB2312" w:hAnsi="仿宋_GB2312" w:cs="仿宋_GB2312" w:eastAsia="仿宋_GB2312"/>
                <w:sz w:val="24"/>
              </w:rPr>
              <w:t>（</w:t>
            </w:r>
            <w:r>
              <w:rPr>
                <w:rFonts w:ascii="仿宋_GB2312" w:hAnsi="仿宋_GB2312" w:cs="仿宋_GB2312" w:eastAsia="仿宋_GB2312"/>
                <w:sz w:val="24"/>
              </w:rPr>
              <w:t>E1+E5a</w:t>
            </w:r>
            <w:r>
              <w:rPr>
                <w:rFonts w:ascii="仿宋_GB2312" w:hAnsi="仿宋_GB2312" w:cs="仿宋_GB2312" w:eastAsia="仿宋_GB2312"/>
                <w:sz w:val="24"/>
              </w:rPr>
              <w:t>+</w:t>
            </w:r>
            <w:r>
              <w:rPr>
                <w:rFonts w:ascii="仿宋_GB2312" w:hAnsi="仿宋_GB2312" w:cs="仿宋_GB2312" w:eastAsia="仿宋_GB2312"/>
                <w:sz w:val="24"/>
              </w:rPr>
              <w:t>E5</w:t>
            </w:r>
            <w:r>
              <w:rPr>
                <w:rFonts w:ascii="仿宋_GB2312" w:hAnsi="仿宋_GB2312" w:cs="仿宋_GB2312" w:eastAsia="仿宋_GB2312"/>
                <w:sz w:val="24"/>
              </w:rPr>
              <w:t>b三</w:t>
            </w:r>
            <w:r>
              <w:rPr>
                <w:rFonts w:ascii="仿宋_GB2312" w:hAnsi="仿宋_GB2312" w:cs="仿宋_GB2312" w:eastAsia="仿宋_GB2312"/>
                <w:sz w:val="24"/>
              </w:rPr>
              <w:t>频）</w:t>
            </w:r>
            <w:r>
              <w:rPr>
                <w:rFonts w:ascii="仿宋_GB2312" w:hAnsi="仿宋_GB2312" w:cs="仿宋_GB2312" w:eastAsia="仿宋_GB2312"/>
                <w:sz w:val="24"/>
              </w:rPr>
              <w:t>/QZSS（L1+L5双频）</w:t>
            </w:r>
            <w:r>
              <w:rPr>
                <w:rFonts w:ascii="仿宋_GB2312" w:hAnsi="仿宋_GB2312" w:cs="仿宋_GB2312" w:eastAsia="仿宋_GB2312"/>
                <w:sz w:val="24"/>
              </w:rPr>
              <w:t>等；</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蓝牙：支持蓝牙</w:t>
            </w:r>
            <w:r>
              <w:rPr>
                <w:rFonts w:ascii="仿宋_GB2312" w:hAnsi="仿宋_GB2312" w:cs="仿宋_GB2312" w:eastAsia="仿宋_GB2312"/>
                <w:sz w:val="24"/>
              </w:rPr>
              <w:t>5.2及以上，支持BLE、SBC、AAC、LDAC</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WLAN:支持802.11 a/b/g/n/ac/ax</w:t>
            </w:r>
            <w:r>
              <w:rPr>
                <w:rFonts w:ascii="仿宋_GB2312" w:hAnsi="仿宋_GB2312" w:cs="仿宋_GB2312" w:eastAsia="仿宋_GB2312"/>
                <w:sz w:val="24"/>
              </w:rPr>
              <w:t>。</w:t>
            </w:r>
          </w:p>
        </w:tc>
      </w:tr>
      <w:tr>
        <w:tc>
          <w:tcPr>
            <w:tcW w:type="dxa" w:w="2769"/>
          </w:tcPr>
          <w:p>
            <w:pPr>
              <w:pStyle w:val="null3"/>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sz w:val="24"/>
              </w:rPr>
              <w:t>9、</w:t>
            </w:r>
            <w:r>
              <w:rPr>
                <w:rFonts w:ascii="仿宋_GB2312" w:hAnsi="仿宋_GB2312" w:cs="仿宋_GB2312" w:eastAsia="仿宋_GB2312"/>
                <w:sz w:val="24"/>
              </w:rPr>
              <w:t>感应器：具有接近光传感器、环境光传感器、加速度传感器、指南针、陀螺仪</w:t>
            </w:r>
            <w:r>
              <w:rPr>
                <w:rFonts w:ascii="仿宋_GB2312" w:hAnsi="仿宋_GB2312" w:cs="仿宋_GB2312" w:eastAsia="仿宋_GB2312"/>
                <w:sz w:val="24"/>
              </w:rPr>
              <w:t>；</w:t>
            </w:r>
          </w:p>
        </w:tc>
      </w:tr>
      <w:tr>
        <w:tc>
          <w:tcPr>
            <w:tcW w:type="dxa" w:w="2769"/>
          </w:tcPr>
          <w:p>
            <w:pPr>
              <w:pStyle w:val="null3"/>
            </w:pPr>
            <w:r>
              <w:rPr>
                <w:rFonts w:ascii="仿宋_GB2312" w:hAnsi="仿宋_GB2312" w:cs="仿宋_GB2312" w:eastAsia="仿宋_GB2312"/>
              </w:rPr>
              <w:t>10</w:t>
            </w:r>
          </w:p>
        </w:tc>
        <w:tc>
          <w:tcPr>
            <w:tcW w:type="dxa" w:w="2769"/>
          </w:tcPr>
          <w:p/>
        </w:tc>
        <w:tc>
          <w:tcPr>
            <w:tcW w:type="dxa" w:w="2769"/>
          </w:tcPr>
          <w:p>
            <w:pPr>
              <w:pStyle w:val="null3"/>
              <w:jc w:val="left"/>
            </w:pPr>
            <w:r>
              <w:rPr>
                <w:rFonts w:ascii="仿宋_GB2312" w:hAnsi="仿宋_GB2312" w:cs="仿宋_GB2312" w:eastAsia="仿宋_GB2312"/>
                <w:sz w:val="24"/>
              </w:rPr>
              <w:t>10、</w:t>
            </w:r>
            <w:r>
              <w:rPr>
                <w:rFonts w:ascii="仿宋_GB2312" w:hAnsi="仿宋_GB2312" w:cs="仿宋_GB2312" w:eastAsia="仿宋_GB2312"/>
                <w:sz w:val="24"/>
              </w:rPr>
              <w:t>接口</w:t>
            </w:r>
            <w:r>
              <w:rPr>
                <w:rFonts w:ascii="仿宋_GB2312" w:hAnsi="仿宋_GB2312" w:cs="仿宋_GB2312" w:eastAsia="仿宋_GB2312"/>
                <w:sz w:val="24"/>
              </w:rPr>
              <w:t>:至少支持USB 2.0、Type-C</w:t>
            </w:r>
            <w:r>
              <w:rPr>
                <w:rFonts w:ascii="仿宋_GB2312" w:hAnsi="仿宋_GB2312" w:cs="仿宋_GB2312" w:eastAsia="仿宋_GB2312"/>
                <w:sz w:val="24"/>
              </w:rPr>
              <w:t>；</w:t>
            </w:r>
          </w:p>
        </w:tc>
      </w:tr>
      <w:tr>
        <w:tc>
          <w:tcPr>
            <w:tcW w:type="dxa" w:w="2769"/>
          </w:tcPr>
          <w:p>
            <w:pPr>
              <w:pStyle w:val="null3"/>
            </w:pPr>
            <w:r>
              <w:rPr>
                <w:rFonts w:ascii="仿宋_GB2312" w:hAnsi="仿宋_GB2312" w:cs="仿宋_GB2312" w:eastAsia="仿宋_GB2312"/>
              </w:rPr>
              <w:t>11</w:t>
            </w:r>
          </w:p>
        </w:tc>
        <w:tc>
          <w:tcPr>
            <w:tcW w:type="dxa" w:w="2769"/>
          </w:tcPr>
          <w:p/>
        </w:tc>
        <w:tc>
          <w:tcPr>
            <w:tcW w:type="dxa" w:w="2769"/>
          </w:tcPr>
          <w:p>
            <w:pPr>
              <w:pStyle w:val="null3"/>
              <w:jc w:val="left"/>
            </w:pPr>
            <w:r>
              <w:rPr>
                <w:rFonts w:ascii="仿宋_GB2312" w:hAnsi="仿宋_GB2312" w:cs="仿宋_GB2312" w:eastAsia="仿宋_GB2312"/>
                <w:sz w:val="24"/>
              </w:rPr>
              <w:t>11、</w:t>
            </w:r>
            <w:r>
              <w:rPr>
                <w:rFonts w:ascii="仿宋_GB2312" w:hAnsi="仿宋_GB2312" w:cs="仿宋_GB2312" w:eastAsia="仿宋_GB2312"/>
                <w:sz w:val="24"/>
              </w:rPr>
              <w:t>网络：</w:t>
            </w:r>
            <w:r>
              <w:rPr>
                <w:rFonts w:ascii="仿宋_GB2312" w:hAnsi="仿宋_GB2312" w:cs="仿宋_GB2312" w:eastAsia="仿宋_GB2312"/>
                <w:sz w:val="24"/>
              </w:rPr>
              <w:t>NR/TD-LTE/FDD LTE /WCDMA/CDMA/GSM，支持中国移动、中国联通、中国电信</w:t>
            </w:r>
            <w:r>
              <w:rPr>
                <w:rFonts w:ascii="仿宋_GB2312" w:hAnsi="仿宋_GB2312" w:cs="仿宋_GB2312" w:eastAsia="仿宋_GB2312"/>
                <w:sz w:val="24"/>
              </w:rPr>
              <w:t>；</w:t>
            </w:r>
          </w:p>
        </w:tc>
      </w:tr>
      <w:tr>
        <w:tc>
          <w:tcPr>
            <w:tcW w:type="dxa" w:w="2769"/>
          </w:tcPr>
          <w:p>
            <w:pPr>
              <w:pStyle w:val="null3"/>
            </w:pPr>
            <w:r>
              <w:rPr>
                <w:rFonts w:ascii="仿宋_GB2312" w:hAnsi="仿宋_GB2312" w:cs="仿宋_GB2312" w:eastAsia="仿宋_GB2312"/>
              </w:rPr>
              <w:t>12</w:t>
            </w:r>
          </w:p>
        </w:tc>
        <w:tc>
          <w:tcPr>
            <w:tcW w:type="dxa" w:w="2769"/>
          </w:tcPr>
          <w:p/>
        </w:tc>
        <w:tc>
          <w:tcPr>
            <w:tcW w:type="dxa" w:w="2769"/>
          </w:tcPr>
          <w:p>
            <w:pPr>
              <w:pStyle w:val="null3"/>
              <w:jc w:val="left"/>
            </w:pPr>
            <w:r>
              <w:rPr>
                <w:rFonts w:ascii="仿宋_GB2312" w:hAnsi="仿宋_GB2312" w:cs="仿宋_GB2312" w:eastAsia="仿宋_GB2312"/>
                <w:sz w:val="24"/>
              </w:rPr>
              <w:t>12、</w:t>
            </w:r>
            <w:r>
              <w:rPr>
                <w:rFonts w:ascii="仿宋_GB2312" w:hAnsi="仿宋_GB2312" w:cs="仿宋_GB2312" w:eastAsia="仿宋_GB2312"/>
                <w:sz w:val="24"/>
              </w:rPr>
              <w:t>其它要求：</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电池容量</w:t>
            </w:r>
            <w:r>
              <w:rPr>
                <w:rFonts w:ascii="仿宋_GB2312" w:hAnsi="仿宋_GB2312" w:cs="仿宋_GB2312" w:eastAsia="仿宋_GB2312"/>
                <w:sz w:val="24"/>
              </w:rPr>
              <w:t>≥4900mAh（额定值）；</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Type-C数据线接口；</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3）充电</w:t>
            </w:r>
            <w:r>
              <w:rPr>
                <w:rFonts w:ascii="仿宋_GB2312" w:hAnsi="仿宋_GB2312" w:cs="仿宋_GB2312" w:eastAsia="仿宋_GB2312"/>
                <w:sz w:val="24"/>
              </w:rPr>
              <w:t>：</w:t>
            </w:r>
            <w:r>
              <w:rPr>
                <w:rFonts w:ascii="仿宋_GB2312" w:hAnsi="仿宋_GB2312" w:cs="仿宋_GB2312" w:eastAsia="仿宋_GB2312"/>
                <w:sz w:val="24"/>
              </w:rPr>
              <w:t>支持不少于</w:t>
            </w:r>
            <w:r>
              <w:rPr>
                <w:rFonts w:ascii="仿宋_GB2312" w:hAnsi="仿宋_GB2312" w:cs="仿宋_GB2312" w:eastAsia="仿宋_GB2312"/>
                <w:sz w:val="24"/>
              </w:rPr>
              <w:t>80W的有线快充；</w:t>
            </w:r>
            <w:r>
              <w:rPr>
                <w:rFonts w:ascii="仿宋_GB2312" w:hAnsi="仿宋_GB2312" w:cs="仿宋_GB2312" w:eastAsia="仿宋_GB2312"/>
              </w:rPr>
              <w:t xml:space="preserve">    </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机身颜色：亮黑色</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触摸屏：多点触控，支持</w:t>
            </w:r>
            <w:r>
              <w:rPr>
                <w:rFonts w:ascii="仿宋_GB2312" w:hAnsi="仿宋_GB2312" w:cs="仿宋_GB2312" w:eastAsia="仿宋_GB2312"/>
                <w:sz w:val="24"/>
              </w:rPr>
              <w:t>≥10点触控</w:t>
            </w:r>
            <w:r>
              <w:rPr>
                <w:rFonts w:ascii="仿宋_GB2312" w:hAnsi="仿宋_GB2312" w:cs="仿宋_GB2312" w:eastAsia="仿宋_GB2312"/>
                <w:sz w:val="24"/>
              </w:rPr>
              <w:t>；</w:t>
            </w:r>
          </w:p>
        </w:tc>
      </w:tr>
      <w:tr>
        <w:tc>
          <w:tcPr>
            <w:tcW w:type="dxa" w:w="2769"/>
          </w:tcPr>
          <w:p>
            <w:pPr>
              <w:pStyle w:val="null3"/>
            </w:pPr>
            <w:r>
              <w:rPr>
                <w:rFonts w:ascii="仿宋_GB2312" w:hAnsi="仿宋_GB2312" w:cs="仿宋_GB2312" w:eastAsia="仿宋_GB2312"/>
              </w:rPr>
              <w:t>13</w:t>
            </w:r>
          </w:p>
        </w:tc>
        <w:tc>
          <w:tcPr>
            <w:tcW w:type="dxa" w:w="2769"/>
          </w:tcPr>
          <w:p/>
        </w:tc>
        <w:tc>
          <w:tcPr>
            <w:tcW w:type="dxa" w:w="2769"/>
          </w:tcPr>
          <w:p>
            <w:pPr>
              <w:pStyle w:val="null3"/>
              <w:jc w:val="both"/>
            </w:pPr>
            <w:r>
              <w:rPr>
                <w:rFonts w:ascii="仿宋_GB2312" w:hAnsi="仿宋_GB2312" w:cs="仿宋_GB2312" w:eastAsia="仿宋_GB2312"/>
                <w:sz w:val="24"/>
              </w:rPr>
              <w:t>13、</w:t>
            </w:r>
            <w:r>
              <w:rPr>
                <w:rFonts w:ascii="仿宋_GB2312" w:hAnsi="仿宋_GB2312" w:cs="仿宋_GB2312" w:eastAsia="仿宋_GB2312"/>
                <w:sz w:val="24"/>
              </w:rPr>
              <w:t>配置清单：</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1）手机： 1部 标配；</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2）电池（内置）： 1块 标配；</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3）使用指南： 1册 标配；</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4）取卡针： 1个标配；</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5）三包凭证： 1册 标配；</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6）超薄保护软壳： 1个标配；</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7）屏幕保护膜（出厂时已贴在手机上）： 1个 标配；</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8）有线充电器： 1个 标配；</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9）USB Type-C 数据线： 1条 标配。</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自签订合同之日起7天</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用户指定地点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合同签订之日起按约定日期</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待本项目所有设备确认收货并经最终验收合格后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配送货物品牌、型号、规格与投标文件及合同约定一致，产品质量满足国家级行业相关标准。</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自验收合格之日起不少于1年。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未按合同要求提供货物或货物质量不能满足合同要求，采购人应当将服务商违约的情况以及拟采取的措施以书面形式报政府采购监管部门，根据政府采购监管部门的处理意见，采购人有权依据《民法典》有关条款及合同约定终止合同，并要求供应商承担违约责任。同时，政府采购监管部门有权依据《政府采购法》及相关法律法规对服务商的违法行为进行相应的处罚。 （二）按《民法典》中的相关条款进行商定并补充。</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1、交货期（天）：自合同签订之日起7日。 2、质保期（年）：自验收合格之日起不少于1年。 3、付款方式：（1）合同签订后 15 日内，采购人以电汇方式向合同签订方支付采购订单的50%货款。（2）待本项目所有设备确认收货并经最终验收合格后15日内，支付合同总金额的剩余50%。 4、供应商须提供不少于10张加密卡供采购人使用。 5、所有产品质量必须符合国家有关规范和相关政策。所有产品及辅材必须是未使用过的新产品，质量优良、渠道正当，配置合理。 6、产品终验合格后按国家有关产品“三包”规定执行“三包”,所供产品质保期自验收合格之日起不少于1年。在质保期内免费提供设备维护保养。若设备技术参数中国家有售后质保标准的，按国家标准执行。成交供应商承诺的质保时间超过招标文件要求的，按其承诺时间质保。 7、售后最低要求：若出现售后供应商须承诺15天换机、1年免费保修，享受国家三包政策。保修期内硬件故障需在24小时内响应，1天内修复，如无法按期修复的，需免费提供备品备件。 8、本项目投标报价为完成本项目所需的全部内容，包括但不限于所有软件、硬件设备的安装、调试、培训、安排技术人员对使用单位的设备管理人员进行操作应用及维护保养方面的技能培训、售后、质保等全部内容。</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 资格证明材料内容及格式.docx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 资格证明材料内容及格式.docx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 资格证明材料内容及格式.docx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营业执照等主体资格证明文件：提供有效存续的企业营业执照（副本）/事业单位法人证书/专业服务机构执业许可证/民办非企业单位登记证书。</w:t>
            </w:r>
          </w:p>
        </w:tc>
        <w:tc>
          <w:tcPr>
            <w:tcW w:type="dxa" w:w="1661"/>
          </w:tcPr>
          <w:p>
            <w:pPr>
              <w:pStyle w:val="null3"/>
            </w:pPr>
            <w:r>
              <w:rPr>
                <w:rFonts w:ascii="仿宋_GB2312" w:hAnsi="仿宋_GB2312" w:cs="仿宋_GB2312" w:eastAsia="仿宋_GB2312"/>
              </w:rPr>
              <w:t>投标人应提交的相关资格证明材料 资格证明材料内容及格式.docx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 （任选其一）</w:t>
            </w:r>
          </w:p>
        </w:tc>
        <w:tc>
          <w:tcPr>
            <w:tcW w:type="dxa" w:w="3322"/>
          </w:tcPr>
          <w:p>
            <w:pPr>
              <w:pStyle w:val="null3"/>
            </w:pPr>
            <w:r>
              <w:rPr>
                <w:rFonts w:ascii="仿宋_GB2312" w:hAnsi="仿宋_GB2312" w:cs="仿宋_GB2312" w:eastAsia="仿宋_GB2312"/>
              </w:rPr>
              <w:t>提供 2024 年度经审计的财务报告（包括资产负债表、利润表、现金流量表、所有者权益变动表及其附注，成立时间至提交响应文件截止时间不足一年的可提供成立后任意时段的资产负债表），或其开标前三个月内基本存款账户开户银行出具的资信证明，（以上二种形式的资料提供任何一种即可）。</w:t>
            </w:r>
          </w:p>
        </w:tc>
        <w:tc>
          <w:tcPr>
            <w:tcW w:type="dxa" w:w="1661"/>
          </w:tcPr>
          <w:p>
            <w:pPr>
              <w:pStyle w:val="null3"/>
            </w:pPr>
            <w:r>
              <w:rPr>
                <w:rFonts w:ascii="仿宋_GB2312" w:hAnsi="仿宋_GB2312" w:cs="仿宋_GB2312" w:eastAsia="仿宋_GB2312"/>
              </w:rPr>
              <w:t>资格证明材料内容及格式.docx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社保资金缴纳证明</w:t>
            </w:r>
          </w:p>
        </w:tc>
        <w:tc>
          <w:tcPr>
            <w:tcW w:type="dxa" w:w="3322"/>
          </w:tcPr>
          <w:p>
            <w:pPr>
              <w:pStyle w:val="null3"/>
            </w:pPr>
            <w:r>
              <w:rPr>
                <w:rFonts w:ascii="仿宋_GB2312" w:hAnsi="仿宋_GB2312" w:cs="仿宋_GB2312" w:eastAsia="仿宋_GB2312"/>
              </w:rPr>
              <w:t>提供2024年4月1日至今已缴纳任意一个月的社会保障资金缴存单据或社保机构开具的社会保险参保缴费情况证明。依法不需要缴纳社会保障资金的供应商应提供相关证明文件。</w:t>
            </w:r>
          </w:p>
        </w:tc>
        <w:tc>
          <w:tcPr>
            <w:tcW w:type="dxa" w:w="1661"/>
          </w:tcPr>
          <w:p>
            <w:pPr>
              <w:pStyle w:val="null3"/>
            </w:pPr>
            <w:r>
              <w:rPr>
                <w:rFonts w:ascii="仿宋_GB2312" w:hAnsi="仿宋_GB2312" w:cs="仿宋_GB2312" w:eastAsia="仿宋_GB2312"/>
              </w:rPr>
              <w:t>投标人应提交的相关资格证明材料 资格证明材料内容及格式.docx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4月1日至今已缴纳任意一个月的依法缴纳税收的相关凭据（时间以税款所属日期为准、税种为任意税种），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投标人应提交的相关资格证明材料 资格证明材料内容及格式.docx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通过“中国政府采购网”及“信用中国”网站查询相关主体无失信记录（网站查询截图加盖投标人公章，不得为“信用中国”中列入失信被执行人和重大税收违法案件当事人名单的投标人，不得为中国政府采购网政府采购严重违法失信行为记录名单中被财政部门禁止参加政府采购活动的投标人；（响应文件开启结束后，采购人或代理机构查询供应商在响应文件提交截止时间前的信用记录并保存信用记录结果网页截图）</w:t>
            </w:r>
          </w:p>
        </w:tc>
        <w:tc>
          <w:tcPr>
            <w:tcW w:type="dxa" w:w="1661"/>
          </w:tcPr>
          <w:p>
            <w:pPr>
              <w:pStyle w:val="null3"/>
            </w:pPr>
            <w:r>
              <w:rPr>
                <w:rFonts w:ascii="仿宋_GB2312" w:hAnsi="仿宋_GB2312" w:cs="仿宋_GB2312" w:eastAsia="仿宋_GB2312"/>
              </w:rPr>
              <w:t>投标人应提交的相关资格证明材料 资格证明材料内容及格式.docx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法定代表人（负责人）委托授权书\身份证明</w:t>
            </w:r>
          </w:p>
        </w:tc>
        <w:tc>
          <w:tcPr>
            <w:tcW w:type="dxa" w:w="3322"/>
          </w:tcPr>
          <w:p>
            <w:pPr>
              <w:pStyle w:val="null3"/>
            </w:pPr>
            <w:r>
              <w:rPr>
                <w:rFonts w:ascii="仿宋_GB2312" w:hAnsi="仿宋_GB2312" w:cs="仿宋_GB2312" w:eastAsia="仿宋_GB2312"/>
              </w:rPr>
              <w:t>法定代表人授权委托书：法定代表人参加投标的，须提供本人身份证复印件（附在资格证明文件中）；法定代表人授权他人参加投标的，须提供法定代表人授权委托书。招标文件中凡是需要法定代表人盖章之处，非法人单位的负责人均参照执行。</w:t>
            </w:r>
          </w:p>
        </w:tc>
        <w:tc>
          <w:tcPr>
            <w:tcW w:type="dxa" w:w="1661"/>
          </w:tcPr>
          <w:p>
            <w:pPr>
              <w:pStyle w:val="null3"/>
            </w:pPr>
            <w:r>
              <w:rPr>
                <w:rFonts w:ascii="仿宋_GB2312" w:hAnsi="仿宋_GB2312" w:cs="仿宋_GB2312" w:eastAsia="仿宋_GB2312"/>
              </w:rPr>
              <w:t>投标人应提交的相关资格证明材料 资格证明材料内容及格式.docx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本项目为非专门面向中小企业</w:t>
            </w:r>
          </w:p>
        </w:tc>
        <w:tc>
          <w:tcPr>
            <w:tcW w:type="dxa" w:w="3322"/>
          </w:tcPr>
          <w:p>
            <w:pPr>
              <w:pStyle w:val="null3"/>
            </w:pPr>
            <w:r>
              <w:rPr>
                <w:rFonts w:ascii="仿宋_GB2312" w:hAnsi="仿宋_GB2312" w:cs="仿宋_GB2312" w:eastAsia="仿宋_GB2312"/>
              </w:rPr>
              <w:t>说明：（1）本项目为非专门面向中小企业，中小微企业参与投标的按规定执行价格扣除政策。 （2）中小企业划分标准详见“工信部联企业〔2011〕300号通知”。 （3）供应商应投标文件中按要求提供《中小企业声明函》，否则将不享受相关价格评审加分政策。</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产品技术参数表 投标函 中小企业声明函 残疾人福利性单位声明函 商务应答表 标的清单 投标文件封面 监狱企业的证明文件 投标人应提交的相关资格证明材料 资格证明材料内容及格式.docx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技术响应</w:t>
            </w:r>
          </w:p>
        </w:tc>
        <w:tc>
          <w:tcPr>
            <w:tcW w:type="dxa" w:w="3322"/>
          </w:tcPr>
          <w:p>
            <w:pPr>
              <w:pStyle w:val="null3"/>
            </w:pPr>
            <w:r>
              <w:rPr>
                <w:rFonts w:ascii="仿宋_GB2312" w:hAnsi="仿宋_GB2312" w:cs="仿宋_GB2312" w:eastAsia="仿宋_GB2312"/>
              </w:rPr>
              <w:t>响应采购内容及要求满足招标文件要求的为合格，响应采购内容及要求不满足招标文件要求的为不合格。</w:t>
            </w:r>
          </w:p>
        </w:tc>
        <w:tc>
          <w:tcPr>
            <w:tcW w:type="dxa" w:w="1661"/>
          </w:tcPr>
          <w:p>
            <w:pPr>
              <w:pStyle w:val="null3"/>
            </w:pPr>
            <w:r>
              <w:rPr>
                <w:rFonts w:ascii="仿宋_GB2312" w:hAnsi="仿宋_GB2312" w:cs="仿宋_GB2312" w:eastAsia="仿宋_GB2312"/>
              </w:rPr>
              <w:t>产品技术参数表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响应报价未超过采购预算或最高限价的为合格，响应报价超过采购预算或最高限价为不合格。</w:t>
            </w:r>
          </w:p>
        </w:tc>
        <w:tc>
          <w:tcPr>
            <w:tcW w:type="dxa" w:w="1661"/>
          </w:tcPr>
          <w:p>
            <w:pPr>
              <w:pStyle w:val="null3"/>
            </w:pPr>
            <w:r>
              <w:rPr>
                <w:rFonts w:ascii="仿宋_GB2312" w:hAnsi="仿宋_GB2312" w:cs="仿宋_GB2312" w:eastAsia="仿宋_GB2312"/>
              </w:rPr>
              <w:t>开标一览表 投标函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商务要求</w:t>
            </w:r>
          </w:p>
        </w:tc>
        <w:tc>
          <w:tcPr>
            <w:tcW w:type="dxa" w:w="3322"/>
          </w:tcPr>
          <w:p>
            <w:pPr>
              <w:pStyle w:val="null3"/>
            </w:pPr>
            <w:r>
              <w:rPr>
                <w:rFonts w:ascii="仿宋_GB2312" w:hAnsi="仿宋_GB2312" w:cs="仿宋_GB2312" w:eastAsia="仿宋_GB2312"/>
              </w:rPr>
              <w:t>商务要求满足采购文件要求为合格 ，商务要求不满足招标文件要求的为不合格。</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投标文件有效期</w:t>
            </w:r>
          </w:p>
        </w:tc>
        <w:tc>
          <w:tcPr>
            <w:tcW w:type="dxa" w:w="3322"/>
          </w:tcPr>
          <w:p>
            <w:pPr>
              <w:pStyle w:val="null3"/>
            </w:pPr>
            <w:r>
              <w:rPr>
                <w:rFonts w:ascii="仿宋_GB2312" w:hAnsi="仿宋_GB2312" w:cs="仿宋_GB2312" w:eastAsia="仿宋_GB2312"/>
              </w:rPr>
              <w:t>投标文件有效期满足招标文件要求的为合格，无投标文件有效期或有效期达不到招标文件要求的为不合格；</w:t>
            </w:r>
          </w:p>
        </w:tc>
        <w:tc>
          <w:tcPr>
            <w:tcW w:type="dxa" w:w="1661"/>
          </w:tcPr>
          <w:p>
            <w:pPr>
              <w:pStyle w:val="null3"/>
            </w:pPr>
            <w:r>
              <w:rPr>
                <w:rFonts w:ascii="仿宋_GB2312" w:hAnsi="仿宋_GB2312" w:cs="仿宋_GB2312" w:eastAsia="仿宋_GB2312"/>
              </w:rPr>
              <w:t>投标函 投标文件封面</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一、评审内容 投标产品的技术参数、功能等符合情况，最高得15分。 所投产品的技术参数完全满足，投标文件中应逐条对应技术参数进行响应，满足招标基本要求的得15分； （1）完全符合、响应招标文件要求，没有负偏离，得基本分15.0分。 （2）投标人必须在投标文件中对招标要求的“▲”技术参数进行逐一响应，并提供相应证明材料。未提供佐证材料的，按负偏离处理，每有1项扣3.0分，扣完为止。 （3）非“▲”参数每负偏离一项扣1.0分，扣完为止。 注：“▲”技术参数须在技术响应表中注明佐证材料的页码；并提供充足的佐证材料包括但不限于提供第三方质量认证或第三方检测机构出具的检验报告或功能截图（加盖制造商单位公章）或功能声明函（加盖制造商单位公章）或产品说明书或产品彩页等佐证材料。）</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技术参数证明材料.docx</w:t>
            </w:r>
          </w:p>
          <w:p>
            <w:pPr>
              <w:pStyle w:val="null3"/>
            </w:pPr>
            <w:r>
              <w:rPr>
                <w:rFonts w:ascii="仿宋_GB2312" w:hAnsi="仿宋_GB2312" w:cs="仿宋_GB2312" w:eastAsia="仿宋_GB2312"/>
              </w:rPr>
              <w:t>产品技术参数表</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一、评审内容 投标人应提供针对本项目的实施方案，充分了解项目采购需求及实施计划等，方案内容至少包含：①项目需求、实施计划及组织架构与分工；②进度计划、安装检测调试后期维护方案；③安全保障措施等；④本项目实施的重点、难点分析并给出相应的解决方案，依据投标方案响应情况进行赋分； 二、评审标准 1、完整性：方案须详细全面，表述清晰完整，完全满足招标文件要求； 2、可实施性：切合本项目实际情况，实施步骤清晰、合理； 3、针对性：方案能够紧扣项目实际情况，内容科学合理； 三、赋分标准（满分12分） ①项目需求、实施计划及组织架构与分工：每完全满足一项评审标准得1分，满分3分； ②进度计划、安装检测调试后期维护方案：每完全满足一项评审标准得1分，满分3分； ③安全保障措施等：每完全满足一项评审标准得1分，满分3分； ④本项目实施的重点、难点分析并给出相应的解决方案：每完全满足一项评审标准得1分，满分3分；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质量管理方案</w:t>
            </w:r>
          </w:p>
        </w:tc>
        <w:tc>
          <w:tcPr>
            <w:tcW w:type="dxa" w:w="2492"/>
          </w:tcPr>
          <w:p>
            <w:pPr>
              <w:pStyle w:val="null3"/>
            </w:pPr>
            <w:r>
              <w:rPr>
                <w:rFonts w:ascii="仿宋_GB2312" w:hAnsi="仿宋_GB2312" w:cs="仿宋_GB2312" w:eastAsia="仿宋_GB2312"/>
              </w:rPr>
              <w:t>一、评审内容 投标人应提供针对本项目的质量管理方案，方案内容至少包含：①质量管理制度；②质量保证承诺；③质量保证措施；依据投标方案响应情况进行赋分； 二、评审标准 1、完整性：方案须详细全面，表述清晰完整，完全满足招标文件要求； 2、可实施性：切合本项目实际情况，实施步骤清晰、合理； 3、针对性：方案能够紧扣项目实际情况，内容科学合理； 三、赋分标准（满分9分） ①质量管理制度：每完全满足一项评审标准得1分，满分3分； ②质量保证承诺：每完全满足一项评审标准得1分，满分3分； ③质量保证措施：每完全满足一项评审标准得1分，满分3分；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质量管理方案.docx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一、评审内容 产品渠道正规有保障，供应商应提供投标产品（移动警务终端）来源渠道证明文件及制造商原厂售后服务承诺函，渠道证明包括但不限于销售协议、代理协议、原厂授权等证明材料复印件加盖单位公章；提供来源渠道证明文件得1.0分，未提供不得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质量保证.docx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1、业绩 1.1投标人提供2022年1月1日以来完成过同类或类似项目合同，每提供一份得2.0分，最高得4.0分；（注：投标文件中提供合同复印件并加盖单位公章。） 1.2投标人提供的已完同类或类似项目业绩，同时具有合同甲方单位出具的验收报告或用户评价证明的，每有1份满足要求得2.0分，最高得4.0分；（注：投标文件中提供证明材料复印件并加盖单位公章。）</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vMerge/>
          </w:tcPr>
          <w:p/>
        </w:tc>
        <w:tc>
          <w:tcPr>
            <w:tcW w:type="dxa" w:w="1661"/>
          </w:tcPr>
          <w:p>
            <w:pPr>
              <w:pStyle w:val="null3"/>
            </w:pPr>
            <w:r>
              <w:rPr>
                <w:rFonts w:ascii="仿宋_GB2312" w:hAnsi="仿宋_GB2312" w:cs="仿宋_GB2312" w:eastAsia="仿宋_GB2312"/>
              </w:rPr>
              <w:t>质保期</w:t>
            </w:r>
          </w:p>
        </w:tc>
        <w:tc>
          <w:tcPr>
            <w:tcW w:type="dxa" w:w="2492"/>
          </w:tcPr>
          <w:p>
            <w:pPr>
              <w:pStyle w:val="null3"/>
            </w:pPr>
            <w:r>
              <w:rPr>
                <w:rFonts w:ascii="仿宋_GB2312" w:hAnsi="仿宋_GB2312" w:cs="仿宋_GB2312" w:eastAsia="仿宋_GB2312"/>
              </w:rPr>
              <w:t>供应商需提供投标货物质保承诺函，质保期为1年的得基础分2分，质保期为2年的得5分，未提供不得分。 赋分依据：1、提供投标货物生产厂家原厂质保承诺函质保期为1年的得基础分。 2、提供投标货物生产厂家原厂质保承诺函质保期为2年或供应商自行承诺质保承诺函质保期为2年的得5分。 3、以上均未提供不得分。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质保期.docx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一、评审内容 供应商提供针对本项目制定详细、可行的培训考核方案，保证上岗人员的专业素质、服务质量符合采购人要求，方案包含：①培训人数、培训时间、培训内容等，保证使用单位能熟练操作维护和正常使用，并进行简单故障排查处理。 二、评审标准 1、完整性：方案必须全面，对评审内容中的各项要求有详细描述； 2、可实施性：切合本项目实际情况，提出步骤清晰、合理的方案； 3、针对性：方案能够紧扣项目实际情况， 内容科学合理。 三、赋分标准（满分3分） ①培训人数、培训时间、培训内容等，保证使用单位能熟练操作维护和正常使用，并进行简单故障排查处理：每完全满足一个评审标准得 1.0 分，满分 3.0分；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培训方案.docx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一、评审内容 供应商提供针对本项目制定详细、可行的售后服务方案，方案包含：①售后服务内容及范围承诺②故障处理响应时间安排计划；③售后服务网点及保障措施；④针对本项目拟投入售后服务人员配置情况；⑤针对突发事件的应急措施和解决方案； 二、评审标准 1、完整性：方案必须全面，对评审内容中的各项要求有详细描述； 2、可实施性：切合本项目实际情况，提出步骤清晰、合理的方案； 3、针对性：方案能够紧扣项目实际情况， 内容科学合理。 三、赋分标准（满分15分） ①售后服务内容及范围承诺：每完全满足一个评审标准得 1.0分，满分 3.0分； ②故障处理响应时间安排计划：每完全满足一个评审标准得1.0分，满分 3.0分； ③售后服务网点及保障措施：每完全满足一个评审标准得 1.0 分，满分 3.0分； ④针对本项目拟投入售后服务人员配置情况：每完全满足一个评审标准得 1.0 分，满分 3.0分； ⑤针对突发事件的应急措施和解决方案：每完全满足一个评审标准得 1.0 分，满分 3.0分；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售后服务方案.docx</w:t>
            </w:r>
          </w:p>
        </w:tc>
      </w:tr>
      <w:tr>
        <w:tc>
          <w:tcPr>
            <w:tcW w:type="dxa" w:w="831"/>
            <w:vMerge/>
          </w:tcPr>
          <w:p/>
        </w:tc>
        <w:tc>
          <w:tcPr>
            <w:tcW w:type="dxa" w:w="1661"/>
          </w:tcPr>
          <w:p>
            <w:pPr>
              <w:pStyle w:val="null3"/>
            </w:pPr>
            <w:r>
              <w:rPr>
                <w:rFonts w:ascii="仿宋_GB2312" w:hAnsi="仿宋_GB2312" w:cs="仿宋_GB2312" w:eastAsia="仿宋_GB2312"/>
              </w:rPr>
              <w:t>增值服务</w:t>
            </w:r>
          </w:p>
        </w:tc>
        <w:tc>
          <w:tcPr>
            <w:tcW w:type="dxa" w:w="2492"/>
          </w:tcPr>
          <w:p>
            <w:pPr>
              <w:pStyle w:val="null3"/>
            </w:pPr>
            <w:r>
              <w:rPr>
                <w:rFonts w:ascii="仿宋_GB2312" w:hAnsi="仿宋_GB2312" w:cs="仿宋_GB2312" w:eastAsia="仿宋_GB2312"/>
              </w:rPr>
              <w:t>一、评审内容 供应商根据自身情况提供相关增值服务方案包括但不限于，提供相关配件、备品、业务服务等。增值服务方案可行有效的得2分，未提供不得分。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增值服务.docx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第一步：投标总报价低于或等于财政预算价格的，为有效投标报价。超财政预算的投标报价为无效投标报价。无效投标报价的投标文件不进行评审，也不得中标。 第二步：价格分采用低价优先法计算，即满足招标文件要求且投标价格最低的投标报价为评标基准价，其价格分为满分。 其他投标单位的价格分统一按照下列公式计算： 投标报价得分=（评标基准价/投标报价）*30%*100，小数点后保留两位，第三位四舍五入。 注：推荐确定中标候选供应商之前，评标小组认为，排在前面的候选供应商的最终报价或者某些分项报价明显不合理或者低于成本，有可能影响商品质量和不能诚信履约的，应当要求其在规定的期限内提供书面文件予以说明理由，并提交相关证明材料。否则，评标小组可以取消该供应商的候选资格，按顺序由排在其次的候选供应商递补，以此类推。 说明：（1）本项目为非专门面向中小企业，中小微企业参与投标的按规定执行价格扣除政策。 （2）中小企业划分标准详见“工信部联企业〔2011〕300号通知”。 （3）供应商应投标文件中按要求提供《中小企业声明函》，否则将不享受相关价格评审加分政策。</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本项目授权评标委员会直接确认中标供应商，确认后代理机构在陕西省政府采购网上发布中标公告，同时向中标供应商发出中标通知书。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详见附件：资格证明材料内容及格式.docx</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详见附件：技术参数证明材料.docx</w:t>
      </w:r>
    </w:p>
    <w:p>
      <w:pPr>
        <w:pStyle w:val="null3"/>
        <w:ind w:firstLine="960"/>
      </w:pPr>
      <w:r>
        <w:rPr>
          <w:rFonts w:ascii="仿宋_GB2312" w:hAnsi="仿宋_GB2312" w:cs="仿宋_GB2312" w:eastAsia="仿宋_GB2312"/>
        </w:rPr>
        <w:t>详见附件：实施方案.docx</w:t>
      </w:r>
    </w:p>
    <w:p>
      <w:pPr>
        <w:pStyle w:val="null3"/>
        <w:ind w:firstLine="960"/>
      </w:pPr>
      <w:r>
        <w:rPr>
          <w:rFonts w:ascii="仿宋_GB2312" w:hAnsi="仿宋_GB2312" w:cs="仿宋_GB2312" w:eastAsia="仿宋_GB2312"/>
        </w:rPr>
        <w:t>详见附件：质量管理方案.docx</w:t>
      </w:r>
    </w:p>
    <w:p>
      <w:pPr>
        <w:pStyle w:val="null3"/>
        <w:ind w:firstLine="960"/>
      </w:pPr>
      <w:r>
        <w:rPr>
          <w:rFonts w:ascii="仿宋_GB2312" w:hAnsi="仿宋_GB2312" w:cs="仿宋_GB2312" w:eastAsia="仿宋_GB2312"/>
        </w:rPr>
        <w:t>详见附件：质量保证.docx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详见附件：质保期.docx</w:t>
      </w:r>
    </w:p>
    <w:p>
      <w:pPr>
        <w:pStyle w:val="null3"/>
        <w:ind w:firstLine="960"/>
      </w:pPr>
      <w:r>
        <w:rPr>
          <w:rFonts w:ascii="仿宋_GB2312" w:hAnsi="仿宋_GB2312" w:cs="仿宋_GB2312" w:eastAsia="仿宋_GB2312"/>
        </w:rPr>
        <w:t>详见附件：培训方案.docx</w:t>
      </w:r>
    </w:p>
    <w:p>
      <w:pPr>
        <w:pStyle w:val="null3"/>
        <w:ind w:firstLine="960"/>
      </w:pPr>
      <w:r>
        <w:rPr>
          <w:rFonts w:ascii="仿宋_GB2312" w:hAnsi="仿宋_GB2312" w:cs="仿宋_GB2312" w:eastAsia="仿宋_GB2312"/>
        </w:rPr>
        <w:t>详见附件：售后服务方案.docx</w:t>
      </w:r>
    </w:p>
    <w:p>
      <w:pPr>
        <w:pStyle w:val="null3"/>
        <w:ind w:firstLine="960"/>
      </w:pPr>
      <w:r>
        <w:rPr>
          <w:rFonts w:ascii="仿宋_GB2312" w:hAnsi="仿宋_GB2312" w:cs="仿宋_GB2312" w:eastAsia="仿宋_GB2312"/>
        </w:rPr>
        <w:t>详见附件：增值服务.docx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详见附件：参考合同.docx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