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版本号：SXHT-(CS)2025030620250515001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农村公路前期技术咨询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SXHT-(CS)20250306</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农村公路前期技术咨询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SXHT-(CS)20250306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农村公路前期技术咨询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按照技术规范及相关规范性文件要求，完成2026年度农村公路新改建和完善提升项目工可研报告、新增普通省道养护工程的技术咨询服务。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2、授权委托书：法定代表人参与投标时，提供法定代表人身份证明及本人身份证复印件加盖公章；授权代表参与碰商时，提供企业法人授权委托书和被授权人身份证复印件加盖公章；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备案证明及承诺书：供应商须在“全国投资项目在线审批监管平台”网站（http://new.tzxm.gov.cn/）（工程咨询单位名录）中进行备案并提供截图，以代理机构现场网站查询结果为准；且具备公路专业全过程工程咨询能力（提供承诺函）；</w:t>
      </w:r>
    </w:p>
    <w:p>
      <w:pPr>
        <w:pStyle w:val="null3"/>
      </w:pPr>
      <w:r>
        <w:rPr>
          <w:rFonts w:ascii="仿宋_GB2312" w:hAnsi="仿宋_GB2312" w:cs="仿宋_GB2312" w:eastAsia="仿宋_GB2312"/>
        </w:rPr>
        <w:t>8、信用中国：通过“信用中国"网站(www.creditchina.gov.cn/)和“中国政府采购网”(http:/www.ccgp.gov.cn/)查询投标主体未被列入失信被执行人重大税收失信主体、政府采购严重违法失信行为记录名单；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9、承诺函：提供具有履行服务合同所必需的设备和专业技术能力的承诺函；</w:t>
      </w:r>
    </w:p>
    <w:p>
      <w:pPr>
        <w:pStyle w:val="null3"/>
      </w:pPr>
      <w:r>
        <w:rPr>
          <w:rFonts w:ascii="仿宋_GB2312" w:hAnsi="仿宋_GB2312" w:cs="仿宋_GB2312" w:eastAsia="仿宋_GB2312"/>
        </w:rPr>
        <w:t>10、控股、管理关系：单位负责人为同一人或者存在控股、管理关系的不同供应商，不得同时参加本项目采购活动；</w:t>
      </w:r>
    </w:p>
    <w:p>
      <w:pPr>
        <w:pStyle w:val="null3"/>
      </w:pPr>
      <w:r>
        <w:rPr>
          <w:rFonts w:ascii="仿宋_GB2312" w:hAnsi="仿宋_GB2312" w:cs="仿宋_GB2312" w:eastAsia="仿宋_GB2312"/>
        </w:rPr>
        <w:t>11、非联合体磋商声明：本项目不接受联合体磋商，供应商须提供《非联合体磋商声明》，视为独立参与磋商活动；</w:t>
      </w:r>
    </w:p>
    <w:p>
      <w:pPr>
        <w:pStyle w:val="null3"/>
      </w:pPr>
      <w:r>
        <w:rPr>
          <w:rFonts w:ascii="仿宋_GB2312" w:hAnsi="仿宋_GB2312" w:cs="仿宋_GB2312" w:eastAsia="仿宋_GB2312"/>
        </w:rPr>
        <w:t>12、不分包磋商声明：本项目不允许分包，供应商须提供《不分包磋商声明》，视为独立参与磋商活动。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 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2、参照国家发改委计划委员会计价格[2002]1980号、发改价格[2011]534号及发改价格[2015]299号文件规定标准下浮30%计取，由成交单位向代理机构支付。代理合同采用标准制式合同。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1.供应商完成合同约定的全部内容，并向采购人提交项目实施过程中的所有资料,以便采购人日后管理和维护该项目。各项成果资料满足国家现行的相关技术标准、规范、规程等以及我省公路养护管理相关规定。 单项咨询任务下达后，须15个工作日内出具正式咨询意见，供应商完成年度咨询任务并满足验收标准后，方可提交验收申请。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按照技术规范及相关规范性文件要求，完成2026年度农村公路新改建和完善提升项目工可研报告、新增普通省道养护工程的技术咨询服务。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农村公路前期技术咨询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标的名称：农村公路前期技术咨询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服务内容：农村公路前期技术咨询工程技术咨询</w:t>
            </w:r>
            <w:r>
              <w:rPr>
                <w:rFonts w:ascii="仿宋_GB2312" w:hAnsi="仿宋_GB2312" w:cs="仿宋_GB2312" w:eastAsia="仿宋_GB2312"/>
                <w:sz w:val="24"/>
              </w:rPr>
              <w:t>:根据采购人提供的技术资料（其中大桥1200延米、三级及以上县乡公路改造约600公里，新增普通省道养护工程约1000公里。）对农村公路前期技术咨询专项工程进行咨询并编制咨询报告。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一、总则</w:t>
            </w:r>
          </w:p>
          <w:p>
            <w:pPr>
              <w:pStyle w:val="null3"/>
              <w:jc w:val="both"/>
            </w:pPr>
            <w:r>
              <w:rPr>
                <w:rFonts w:ascii="仿宋_GB2312" w:hAnsi="仿宋_GB2312" w:cs="仿宋_GB2312" w:eastAsia="仿宋_GB2312"/>
                <w:sz w:val="24"/>
              </w:rPr>
              <w:t>1.方案设计审查工作应按照供应商对方案设计文件进行符合性审查、文件审查，组织现场审查，供应商提交咨询报告的程序进行。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技术咨询过程中的文件交接、重大问题沟通实行痕迹管理，关键环节的文件提交、意见交流等，应通过签字、传真或邮件等方式加以确认。</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供应商应严格执行国家有关规定，不得转嫁咨询技术咨询工作成本。</w:t>
            </w:r>
          </w:p>
          <w:p>
            <w:pPr>
              <w:pStyle w:val="null3"/>
              <w:jc w:val="both"/>
            </w:pPr>
            <w:r>
              <w:rPr>
                <w:rFonts w:ascii="仿宋_GB2312" w:hAnsi="仿宋_GB2312" w:cs="仿宋_GB2312" w:eastAsia="仿宋_GB2312"/>
                <w:sz w:val="24"/>
              </w:rPr>
              <w:t>二、对供应商的总体要求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承担技术咨询任务的供应商，应结合本单位管理模式和发包人技术咨询任务的要求，在企业内部明确相应的技术咨询部门，建立明确的发包人技术咨询任务内部管理模式，理顺工作关系，建立健全质量保证体系，制定科学专业的咨询审查标准，保证审查工作质量和进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应商应明确足够的、相对固定的技术人员，作为完成发包人技术咨询任务的基本力量。技术人员基本情况及变动情况在采购后发生变化时，应及时报发包人备案。供应商应加强对参与发包人技术咨询任务技术人员（以下简称</w:t>
            </w:r>
            <w:r>
              <w:rPr>
                <w:rFonts w:ascii="仿宋_GB2312" w:hAnsi="仿宋_GB2312" w:cs="仿宋_GB2312" w:eastAsia="仿宋_GB2312"/>
                <w:sz w:val="24"/>
              </w:rPr>
              <w:t>“</w:t>
            </w:r>
            <w:r>
              <w:rPr>
                <w:rFonts w:ascii="仿宋_GB2312" w:hAnsi="仿宋_GB2312" w:cs="仿宋_GB2312" w:eastAsia="仿宋_GB2312"/>
                <w:sz w:val="24"/>
              </w:rPr>
              <w:t>审查人员</w:t>
            </w:r>
            <w:r>
              <w:rPr>
                <w:rFonts w:ascii="仿宋_GB2312" w:hAnsi="仿宋_GB2312" w:cs="仿宋_GB2312" w:eastAsia="仿宋_GB2312"/>
                <w:sz w:val="24"/>
              </w:rPr>
              <w:t>”</w:t>
            </w:r>
            <w:r>
              <w:rPr>
                <w:rFonts w:ascii="仿宋_GB2312" w:hAnsi="仿宋_GB2312" w:cs="仿宋_GB2312" w:eastAsia="仿宋_GB2312"/>
                <w:sz w:val="24"/>
              </w:rPr>
              <w:t>）的廉政、职业道德、法律知识和业务培训。</w:t>
            </w:r>
          </w:p>
          <w:p>
            <w:pPr>
              <w:pStyle w:val="null3"/>
              <w:jc w:val="both"/>
            </w:pPr>
            <w:r>
              <w:rPr>
                <w:rFonts w:ascii="仿宋_GB2312" w:hAnsi="仿宋_GB2312" w:cs="仿宋_GB2312" w:eastAsia="仿宋_GB2312"/>
                <w:sz w:val="24"/>
              </w:rPr>
              <w:t>3.审查人员应当遵守国家法律法规，坚持原则，恪守职业道德，客观公正，责任心强，专业素质高，掌握公路工程技术标准、规范和有关技术政策，积极学习和了解国外先进的公路工程设计、施工和管理技术，能够熟练运用成熟技术和现代工程管理理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供应商不得参与其承担技术咨询服务项目的其他任何采购活动。</w:t>
            </w:r>
          </w:p>
          <w:p>
            <w:pPr>
              <w:pStyle w:val="null3"/>
              <w:jc w:val="both"/>
            </w:pPr>
            <w:r>
              <w:rPr>
                <w:rFonts w:ascii="仿宋_GB2312" w:hAnsi="仿宋_GB2312" w:cs="仿宋_GB2312" w:eastAsia="仿宋_GB2312"/>
                <w:sz w:val="24"/>
              </w:rPr>
              <w:t>三、符合性审查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符合性审查的内容主要包括：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）项目政策执行情况，土地、环评等项目前置审批是否已完成。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）设计文件完整性是否满足相关要求。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）建设规模、技术标准、概算等是否符合方案设计要求和《公路工程技术标准》的规定。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）设计文件是否按照国家现行有关方针政策、法律、法规、标准及规范要求编制，是否满足先进、适用、安全、节能、消防、环境、美观、经济的原则。</w:t>
            </w:r>
          </w:p>
          <w:p>
            <w:pPr>
              <w:pStyle w:val="null3"/>
              <w:jc w:val="both"/>
            </w:pPr>
            <w:r>
              <w:rPr>
                <w:rFonts w:ascii="仿宋_GB2312" w:hAnsi="仿宋_GB2312" w:cs="仿宋_GB2312" w:eastAsia="仿宋_GB2312"/>
                <w:sz w:val="24"/>
              </w:rPr>
              <w:t>四、设计文件审查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方案设计文件审查应按照</w:t>
            </w:r>
            <w:r>
              <w:rPr>
                <w:rFonts w:ascii="仿宋_GB2312" w:hAnsi="仿宋_GB2312" w:cs="仿宋_GB2312" w:eastAsia="仿宋_GB2312"/>
                <w:sz w:val="24"/>
              </w:rPr>
              <w:t>“</w:t>
            </w:r>
            <w:r>
              <w:rPr>
                <w:rFonts w:ascii="仿宋_GB2312" w:hAnsi="仿宋_GB2312" w:cs="仿宋_GB2312" w:eastAsia="仿宋_GB2312"/>
                <w:sz w:val="24"/>
              </w:rPr>
              <w:t>安全、耐久、节约、和谐</w:t>
            </w:r>
            <w:r>
              <w:rPr>
                <w:rFonts w:ascii="仿宋_GB2312" w:hAnsi="仿宋_GB2312" w:cs="仿宋_GB2312" w:eastAsia="仿宋_GB2312"/>
                <w:sz w:val="24"/>
              </w:rPr>
              <w:t>”</w:t>
            </w:r>
            <w:r>
              <w:rPr>
                <w:rFonts w:ascii="仿宋_GB2312" w:hAnsi="仿宋_GB2312" w:cs="仿宋_GB2312" w:eastAsia="仿宋_GB2312"/>
                <w:sz w:val="24"/>
              </w:rPr>
              <w:t>的原则，围绕保证项目建设、运营安全，合理使用资金和资源，最大限度的保护公众利益，使公路基础设施能够更好的为经济社会发展和出行需求服务这一目标，对方案合理性、运行安全性、结构可靠性和投资控制情况进行审查。</w:t>
            </w:r>
          </w:p>
          <w:p>
            <w:pPr>
              <w:pStyle w:val="null3"/>
              <w:jc w:val="both"/>
            </w:pPr>
            <w:r>
              <w:rPr>
                <w:rFonts w:ascii="仿宋_GB2312" w:hAnsi="仿宋_GB2312" w:cs="仿宋_GB2312" w:eastAsia="仿宋_GB2312"/>
                <w:sz w:val="24"/>
              </w:rPr>
              <w:t>审查工作主要应包括但不限于以下内容：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）总体设计原则和思路的合理性，与建设环境和公路功能的适应性。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）设计依据的基本资料是否完整、准确、可靠。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）方案比选的合理性和全面性，技术指标运用的合理性。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）设计文件编制深度和格式，附件、协议等资料的齐全、完备情况。专业间设计的协调性，设计界面衔接情况，设计与外业勘察成果的衔接情况。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）结构安全、耐久性。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）概算定额套用、人工和材料单价以及费率取值的合理性，征地拆迁等工程建设其他费用取费依据的完备性和取费合理性。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审查过程中发现设计文件存在以下问题的，应及时与设计单位沟通核实。问题确认后，应及时报发包人，并提出处理建议</w:t>
            </w:r>
            <w:r>
              <w:rPr>
                <w:rFonts w:ascii="仿宋_GB2312" w:hAnsi="仿宋_GB2312" w:cs="仿宋_GB2312" w:eastAsia="仿宋_GB2312"/>
                <w:sz w:val="24"/>
              </w:rPr>
              <w:t>。发包人将根据具体情况，要求设计单位补充完善，或退回要求重新修改后再次预审、报送。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）总体设计不合理，与建设条件适应性差，或不能满足项目的功能要求；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）方案比选不充分，遗漏重大有价值的技术方案；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）设计工作与实际路况出现严重脱节；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）设计文件编制质量差，错漏多。</w:t>
            </w:r>
          </w:p>
          <w:p>
            <w:pPr>
              <w:pStyle w:val="null3"/>
              <w:jc w:val="both"/>
            </w:pPr>
            <w:r>
              <w:rPr>
                <w:rFonts w:ascii="仿宋_GB2312" w:hAnsi="仿宋_GB2312" w:cs="仿宋_GB2312" w:eastAsia="仿宋_GB2312"/>
                <w:sz w:val="24"/>
              </w:rPr>
              <w:t>五、现场审查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现场审查工作在设计文件审查完成后进行，由发包人主持。现场审查应听取设计单位的设计情况汇报，对重要工点和有争议的工点进行现场踏查，现场完成审查意见。</w:t>
            </w:r>
          </w:p>
          <w:p>
            <w:pPr>
              <w:pStyle w:val="null3"/>
              <w:jc w:val="both"/>
            </w:pPr>
            <w:r>
              <w:rPr>
                <w:rFonts w:ascii="仿宋_GB2312" w:hAnsi="仿宋_GB2312" w:cs="仿宋_GB2312" w:eastAsia="仿宋_GB2312"/>
                <w:sz w:val="24"/>
              </w:rPr>
              <w:t>六、提交咨询报告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咨询报告应结构清晰，内容精干，符合国家有关政策导向。能够清晰描述工程全貌，准确定性设计存在的问题，明确提出对相关技术问题的意见。提出的建议应科学合理、论证清晰。报告格式符合发包人要求。</w:t>
            </w:r>
          </w:p>
          <w:p>
            <w:pPr>
              <w:pStyle w:val="null3"/>
              <w:jc w:val="both"/>
            </w:pPr>
            <w:r>
              <w:rPr>
                <w:rFonts w:ascii="仿宋_GB2312" w:hAnsi="仿宋_GB2312" w:cs="仿宋_GB2312" w:eastAsia="仿宋_GB2312"/>
                <w:sz w:val="24"/>
              </w:rPr>
              <w:t>七、报告核查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收到正式咨询报告后，发包人相关承办人应对咨询报告内容进行核查，对存在问题和不足的，应要求供应商予以补充和完善。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发包人可以组织专家或通过后评价，对技术咨询报告的质量进行评价，对技术咨询的过程进行检查。</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咨询单位应从设计单位人员投入、设计质量、政策技术标准执行等方面，按优秀、良好、一般各占约</w:t>
            </w:r>
            <w:r>
              <w:rPr>
                <w:rFonts w:ascii="仿宋_GB2312" w:hAnsi="仿宋_GB2312" w:cs="仿宋_GB2312" w:eastAsia="仿宋_GB2312"/>
                <w:sz w:val="24"/>
              </w:rPr>
              <w:t>30%</w:t>
            </w:r>
            <w:r>
              <w:rPr>
                <w:rFonts w:ascii="仿宋_GB2312" w:hAnsi="仿宋_GB2312" w:cs="仿宋_GB2312" w:eastAsia="仿宋_GB2312"/>
                <w:sz w:val="24"/>
              </w:rPr>
              <w:t>比例，对设计单位进行评价排名，并提供书面意见。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合同签订后一年内有效。单项咨询任务下达后，须15个工作日内出具正式咨询意见，供应商完成年度咨询任务并满足验收标准后，方可提交验收申请。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1.供应商完成合同约定的全部内容，并向采购人提交项目实施过程中的所有资料,以便采购人日后管理和维护该项目。各项成果资料满足国家现行的相关技术标准、规范、规程等以及我省公路养护管理相关规定。 单项咨询任务下达后，须15个工作日内出具正式咨询意见，供应商完成年度咨询任务并满足验收标准后，方可提交验收申请。 2.采购人确认供应商能够达到合同约定要求后，组织供应商（必要时请有关专家）进行项目验收。供应商提交合同履约情况总结报告，并经采购人确认。验收合格后，填写项目验收单作为对项目的最终认可。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合同签订前，乙方须向甲方缴纳合同总金额5%的履约保证金，履约保证金待乙方履行完毕全部合同义务，并经甲方履约验收合格，无任何纠纷后无息退还。合同签订后，甲方收到履约保证金及增值税普通发票后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乙方提交项目年度咨询报告，且作为普通公路建养项目出具省级审查意见的依据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解决争议的方法：在履行本合同的过程中发生争议，双方当事人经友好协商仍无法达成一致的，任何一方有权向甲方所在地具有管辖权的法院起诉。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3.供应商需要在线提交所有通过电子化交易平台实施的政府采购项目的响应文件，同时，线下提交响应文件正本壹份、副本贰套、电子版贰套（U盘标明供应商名称）。 线下提交响应文件地点：于开标截止时间前。 线下提交响应文件地点：西安市建西街123号三楼第一会议室。 若电子响应文件与纸质响应文件不一致的，以电子响应文件为准；若正本和副本不符，以正本为准。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法定代表人证明书与法定代表人授权书.docx 中小企业声明函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本合同包不专门面向中小企业。</w:t>
            </w:r>
          </w:p>
        </w:tc>
        <w:tc>
          <w:tcPr>
            <w:tcW w:type="dxa" w:w="3322"/>
          </w:tcPr>
          <w:p>
            <w:pPr>
              <w:pStyle w:val="null3"/>
            </w:pPr>
            <w:r>
              <w:rPr>
                <w:rFonts w:ascii="仿宋_GB2312" w:hAnsi="仿宋_GB2312" w:cs="仿宋_GB2312" w:eastAsia="仿宋_GB2312"/>
              </w:rPr>
              <w:t>本合同包不专门面向中小企业。</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法定代表人参与投标时，提供法定代表人身份证明及本人身份证复印件加盖公章；授权代表参与碰商时，提供企业法人授权委托书和被授权人身份证复印件加盖公章；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备案证明及承诺书</w:t>
            </w:r>
          </w:p>
        </w:tc>
        <w:tc>
          <w:tcPr>
            <w:tcW w:type="dxa" w:w="3322"/>
          </w:tcPr>
          <w:p>
            <w:pPr>
              <w:pStyle w:val="null3"/>
            </w:pPr>
            <w:r>
              <w:rPr>
                <w:rFonts w:ascii="仿宋_GB2312" w:hAnsi="仿宋_GB2312" w:cs="仿宋_GB2312" w:eastAsia="仿宋_GB2312"/>
              </w:rPr>
              <w:t>供应商须在“全国投资项目在线审批监管平台”网站（http://new.tzxm.gov.cn/）（工程咨询单位名录）中进行备案并提供截图，以代理机构现场网站查询结果为准；且具备公路专业全过程工程咨询能力（提供承诺函）；</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本项目不接受联合体磋商，供应商须提供《非联合体磋商声明》，视为独立参与磋商活动；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不分包磋商声明</w:t>
            </w:r>
          </w:p>
        </w:tc>
        <w:tc>
          <w:tcPr>
            <w:tcW w:type="dxa" w:w="3322"/>
          </w:tcPr>
          <w:p>
            <w:pPr>
              <w:pStyle w:val="null3"/>
            </w:pPr>
            <w:r>
              <w:rPr>
                <w:rFonts w:ascii="仿宋_GB2312" w:hAnsi="仿宋_GB2312" w:cs="仿宋_GB2312" w:eastAsia="仿宋_GB2312"/>
              </w:rPr>
              <w:t>本项目不允许分包，供应商须提供《不分包磋商声明》，视为独立参与磋商活动。</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咨询工作范围、服务工作的理解</w:t>
            </w:r>
          </w:p>
        </w:tc>
        <w:tc>
          <w:tcPr>
            <w:tcW w:type="dxa" w:w="2492"/>
          </w:tcPr>
          <w:p>
            <w:pPr>
              <w:pStyle w:val="null3"/>
            </w:pPr>
            <w:r>
              <w:rPr>
                <w:rFonts w:ascii="仿宋_GB2312" w:hAnsi="仿宋_GB2312" w:cs="仿宋_GB2312" w:eastAsia="仿宋_GB2312"/>
              </w:rPr>
              <w:t>对本项目设计咨询工作范围、服务工作的理解和策划： 1.对技术咨询工作内容进行了详细的分析和策划；咨询服务工作的理解科学合理、准确，得10分； 2.对技术咨询工作内容有较详细的分析和策划；咨询服务工作的理解较科学合理、准确，得8分； 3.对技术咨询工作内容分析和策划一般；咨询服务工作的理解基本到位，得5分； 4.分析和策划内容不够完善，咨询服务工作的理解存在偏差，得2分； 5.未提供此项不得分。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咨询组织机构及人员配置</w:t>
            </w:r>
          </w:p>
        </w:tc>
        <w:tc>
          <w:tcPr>
            <w:tcW w:type="dxa" w:w="2492"/>
          </w:tcPr>
          <w:p>
            <w:pPr>
              <w:pStyle w:val="null3"/>
            </w:pPr>
            <w:r>
              <w:rPr>
                <w:rFonts w:ascii="仿宋_GB2312" w:hAnsi="仿宋_GB2312" w:cs="仿宋_GB2312" w:eastAsia="仿宋_GB2312"/>
              </w:rPr>
              <w:t>对本项目咨询组织机构及人员配置安排： 1.咨询组织机构及各专业人员配置，齐全、科学、合理，切实可行，满足采购人需求得10分； 2.咨询组织机构及各专业人员配置，较齐全、较合理，各专业配合协调措施较完善，针对性较强，可行性较高，得8分； 3.咨询组织机构及各专业人员配置部署，一般，各专业配合协调措施不够完善，可行性一般，得5分； 4.咨询组织机构及各专业人员配置不完善，责任不清晰，针对性不强，得2分； 5.未提供此项不得分。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咨询服务总体思路和各专业工程技术咨询的特点</w:t>
            </w:r>
          </w:p>
        </w:tc>
        <w:tc>
          <w:tcPr>
            <w:tcW w:type="dxa" w:w="2492"/>
          </w:tcPr>
          <w:p>
            <w:pPr>
              <w:pStyle w:val="null3"/>
            </w:pPr>
            <w:r>
              <w:rPr>
                <w:rFonts w:ascii="仿宋_GB2312" w:hAnsi="仿宋_GB2312" w:cs="仿宋_GB2312" w:eastAsia="仿宋_GB2312"/>
              </w:rPr>
              <w:t>对咨询服务的总体思路、审查标准和各专业工程技术咨询的特点进行评价： 1.咨询总体思路和审查标准具有科学性、先进性、合理性，对各专业工程技术咨询特点、重难点、关键技术理解到位准确，得15分； 2.咨询总体思路和审查标准较科学、较先进、较合理，对各专业工程技术咨询特点、重难点、关键技术理解较准确，得13分； 3.咨询总体思路和审查标准基本科学、合理，对各专业工程技术咨询特点、重难点、关键技术分析一般，区分度不明显，得10分； 4.咨询总体思路和审查标准一般，对各专业工程技术咨询的特点、重难点、关键技术理解有欠缺，不够全面，得8分； 5.咨询总体思路和审查标准不清晰，对各专业工程技术咨询的特点、重难点、关键技术理解阐述有缺项，不完整，得5分； 6.咨询总体思路和审查标准不清晰，缺少对各专业工程技术咨询特点及重难点的分析，得2分； 7.未提供此项不得分。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工作计划和质量保证措施</w:t>
            </w:r>
          </w:p>
        </w:tc>
        <w:tc>
          <w:tcPr>
            <w:tcW w:type="dxa" w:w="2492"/>
          </w:tcPr>
          <w:p>
            <w:pPr>
              <w:pStyle w:val="null3"/>
            </w:pPr>
            <w:r>
              <w:rPr>
                <w:rFonts w:ascii="仿宋_GB2312" w:hAnsi="仿宋_GB2312" w:cs="仿宋_GB2312" w:eastAsia="仿宋_GB2312"/>
              </w:rPr>
              <w:t>1.工作计划和质量、进度保证措施安排具体，针对性强，有效可行，得5分； 2.工作计划和质量、进度保证措施安排较具体，针对性较强，较有效、可行，得4分； 3.工作计划和质量、进度保证措施安排不具体，针对性一般，基本有效、可行，得3分； 4.工作计划和质量、进度保证措施安排不具体，针对性较差，可行性一般，得2分； 5.内容有缺项，漏项；无法满足项目需求得1分； 6.未提供此项不得分。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服务承诺包含但不限于对后期服务的保证措施、能够处理各类紧急事项的措施，保证项目实施，能够保证在规定的时间解决问题。承诺内容切实可行。 1.措施方案考虑全面、内容完整、重点突出、具有针对性和可行性的得5分；2.措施方案较为全面、内容较为完整、重点内容体现、较有针对性和可行性的得3分； 3.措施方案较差、考虑不够全面、内容不够完整、重点内容未体现的得1分。4.未提供此项不得分。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2022年1月1日至响应文件递交截止前，有3项类似公路（桥梁）设计咨询业绩，得10分，不满足以上要求不得分； 每增加1项农村公路（三级及以上）设计咨询业绩，加2分，最多加4分； 每增加1项农村公路桥梁（大桥及以上）设计咨询业绩，加2分，最多加6分。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拟投入本项目的人员1</w:t>
            </w:r>
          </w:p>
        </w:tc>
        <w:tc>
          <w:tcPr>
            <w:tcW w:type="dxa" w:w="2492"/>
          </w:tcPr>
          <w:p>
            <w:pPr>
              <w:pStyle w:val="null3"/>
            </w:pPr>
            <w:r>
              <w:rPr>
                <w:rFonts w:ascii="仿宋_GB2312" w:hAnsi="仿宋_GB2312" w:cs="仿宋_GB2312" w:eastAsia="仿宋_GB2312"/>
              </w:rPr>
              <w:t>项目技术负责人: 1.具有公路工程相关专业高级及以上职称，得2分；具有公路工程专业相关专业中级职称，得1分； 2.2022年1月1日至响应文件递交截止前，担任过10条农村公路建养工程和5座农村公路大桥及以上桥梁工程，设计或咨询项目负责人，得5分，不满足以上要求不得分； 每增加5条农村公路建养工程项目业绩，设计或咨询项目负责人，加1分，最多加4分； 每增加2座农村公路大桥及以上桥梁项目业绩，设计或咨询项目负责人，加1分，最多加4分。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拟投入本项目的人员</w:t>
            </w:r>
          </w:p>
        </w:tc>
        <w:tc>
          <w:tcPr>
            <w:tcW w:type="dxa" w:w="2492"/>
          </w:tcPr>
          <w:p>
            <w:pPr>
              <w:pStyle w:val="null3"/>
            </w:pPr>
            <w:r>
              <w:rPr>
                <w:rFonts w:ascii="仿宋_GB2312" w:hAnsi="仿宋_GB2312" w:cs="仿宋_GB2312" w:eastAsia="仿宋_GB2312"/>
              </w:rPr>
              <w:t>其他项目人员: 具有公路工程相关专业中级及以上职称，每提供一个得1分，满分5分。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符合磋商文件规定的小微企业、监狱企业、残疾人福利企业优惠条件的供应商，价格给予10%的扣除，用扣除后的价格参与评审。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